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0A3DC" w14:textId="3C40BFD3" w:rsidR="008506FF" w:rsidRDefault="5BF596FD" w:rsidP="00513C49">
      <w:pPr>
        <w:spacing w:before="240"/>
        <w:rPr>
          <w:rFonts w:ascii="Segoe UI" w:eastAsia="Segoe UI" w:hAnsi="Segoe UI" w:cs="Segoe UI"/>
          <w:b/>
          <w:bCs/>
          <w:color w:val="003C56" w:themeColor="text1"/>
        </w:rPr>
      </w:pPr>
      <w:r w:rsidRPr="00513C49">
        <w:rPr>
          <w:rFonts w:ascii="Segoe UI" w:eastAsia="Segoe UI" w:hAnsi="Segoe UI" w:cs="Segoe UI"/>
          <w:b/>
          <w:bCs/>
          <w:color w:val="003C56" w:themeColor="text1"/>
        </w:rPr>
        <w:t xml:space="preserve">Tool </w:t>
      </w:r>
      <w:r w:rsidR="222A05F6" w:rsidRPr="00513C49">
        <w:rPr>
          <w:rFonts w:ascii="Segoe UI" w:eastAsia="Segoe UI" w:hAnsi="Segoe UI" w:cs="Segoe UI"/>
          <w:b/>
          <w:bCs/>
          <w:color w:val="003C56" w:themeColor="text1"/>
        </w:rPr>
        <w:t>E</w:t>
      </w:r>
      <w:r w:rsidRPr="00513C49">
        <w:rPr>
          <w:rFonts w:ascii="Segoe UI" w:eastAsia="Segoe UI" w:hAnsi="Segoe UI" w:cs="Segoe UI"/>
          <w:b/>
          <w:bCs/>
          <w:color w:val="003C56" w:themeColor="text1"/>
        </w:rPr>
        <w:t>: SIV Content Placement Checklist</w:t>
      </w:r>
    </w:p>
    <w:p w14:paraId="26EB1341" w14:textId="77777777" w:rsidR="008506FF" w:rsidRDefault="5BF596FD" w:rsidP="00513C49">
      <w:pPr>
        <w:rPr>
          <w:rFonts w:ascii="Segoe UI" w:eastAsia="Segoe UI" w:hAnsi="Segoe UI" w:cs="Segoe UI"/>
          <w:color w:val="003C56" w:themeColor="text1"/>
          <w:lang w:val="ru-RU"/>
        </w:rPr>
      </w:pPr>
      <w:r w:rsidRPr="00513C49">
        <w:rPr>
          <w:rFonts w:ascii="Segoe UI" w:eastAsia="Segoe UI" w:hAnsi="Segoe UI" w:cs="Segoe UI"/>
          <w:color w:val="003C56" w:themeColor="text1"/>
        </w:rPr>
        <w:t>This checklist helps sponsors and CROs decide whether content belongs in the live SIV or should be delivered through reusable core training, vendor micro-modules, job aids, or point-of-use references.</w:t>
      </w:r>
    </w:p>
    <w:p w14:paraId="56C70C98" w14:textId="77777777" w:rsidR="00492DC3" w:rsidRPr="00492DC3" w:rsidRDefault="00492DC3" w:rsidP="00513C49">
      <w:pPr>
        <w:rPr>
          <w:rFonts w:ascii="Segoe UI" w:eastAsia="Segoe UI" w:hAnsi="Segoe UI" w:cs="Segoe UI"/>
          <w:color w:val="00000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2544"/>
        <w:gridCol w:w="2695"/>
      </w:tblGrid>
      <w:tr w:rsidR="00E7404F" w:rsidRPr="00E7404F" w14:paraId="169C6F6F" w14:textId="77777777" w:rsidTr="00356EA2">
        <w:tc>
          <w:tcPr>
            <w:tcW w:w="4111" w:type="dxa"/>
            <w:shd w:val="clear" w:color="auto" w:fill="005171" w:themeFill="accent1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873557E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b/>
                <w:bCs/>
                <w:color w:val="FFFFFF" w:themeColor="background1"/>
              </w:rPr>
            </w:pPr>
            <w:r w:rsidRPr="00356EA2">
              <w:rPr>
                <w:rFonts w:ascii="Segoe UI" w:eastAsia="Segoe UI" w:hAnsi="Segoe UI" w:cs="Segoe UI"/>
                <w:b/>
                <w:bCs/>
                <w:color w:val="FFFFFF" w:themeColor="background1"/>
              </w:rPr>
              <w:t>Question</w:t>
            </w:r>
          </w:p>
        </w:tc>
        <w:tc>
          <w:tcPr>
            <w:tcW w:w="2544" w:type="dxa"/>
            <w:shd w:val="clear" w:color="auto" w:fill="005171" w:themeFill="accent1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BA3A8C1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b/>
                <w:bCs/>
                <w:color w:val="FFFFFF" w:themeColor="background1"/>
              </w:rPr>
            </w:pPr>
            <w:r w:rsidRPr="00356EA2">
              <w:rPr>
                <w:rFonts w:ascii="Segoe UI" w:eastAsia="Segoe UI" w:hAnsi="Segoe UI" w:cs="Segoe UI"/>
                <w:b/>
                <w:bCs/>
                <w:color w:val="FFFFFF" w:themeColor="background1"/>
              </w:rPr>
              <w:t>If yes</w:t>
            </w:r>
          </w:p>
        </w:tc>
        <w:tc>
          <w:tcPr>
            <w:tcW w:w="2695" w:type="dxa"/>
            <w:shd w:val="clear" w:color="auto" w:fill="005171" w:themeFill="accent1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08DAFC2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b/>
                <w:bCs/>
                <w:color w:val="FFFFFF" w:themeColor="background1"/>
              </w:rPr>
            </w:pPr>
            <w:r w:rsidRPr="00356EA2">
              <w:rPr>
                <w:rFonts w:ascii="Segoe UI" w:eastAsia="Segoe UI" w:hAnsi="Segoe UI" w:cs="Segoe UI"/>
                <w:b/>
                <w:bCs/>
                <w:color w:val="FFFFFF" w:themeColor="background1"/>
              </w:rPr>
              <w:t>If no</w:t>
            </w:r>
          </w:p>
        </w:tc>
      </w:tr>
      <w:tr w:rsidR="00E7404F" w:rsidRPr="00E7404F" w14:paraId="3ABF7C9A" w14:textId="77777777" w:rsidTr="00356EA2">
        <w:tc>
          <w:tcPr>
            <w:tcW w:w="4111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A6BB385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Does this content vary materially by protocol, participant population, endpoint, visit schedule, or study design?</w:t>
            </w:r>
          </w:p>
        </w:tc>
        <w:tc>
          <w:tcPr>
            <w:tcW w:w="2544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0D29FA6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Protect for live SIV or study-specific training.</w:t>
            </w:r>
          </w:p>
        </w:tc>
        <w:tc>
          <w:tcPr>
            <w:tcW w:w="2695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B439533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Consider reusable core training, job aid, or reference material.</w:t>
            </w:r>
          </w:p>
        </w:tc>
      </w:tr>
      <w:tr w:rsidR="00E7404F" w:rsidRPr="00E7404F" w14:paraId="171DE13B" w14:textId="77777777" w:rsidTr="00356EA2">
        <w:tc>
          <w:tcPr>
            <w:tcW w:w="4111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F1BE6D3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Does this content create meaningful risk to participant safety, data integrity, endpoint reliability, protocol execution, or study timelines if misunderstood?</w:t>
            </w:r>
          </w:p>
        </w:tc>
        <w:tc>
          <w:tcPr>
            <w:tcW w:w="2544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C732669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Protect for live SIV discussion, scenario review, or targeted role-based training.</w:t>
            </w:r>
          </w:p>
        </w:tc>
        <w:tc>
          <w:tcPr>
            <w:tcW w:w="2695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8956A59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Consider reusable training, job aid, or point-of-use reference.</w:t>
            </w:r>
          </w:p>
        </w:tc>
      </w:tr>
      <w:tr w:rsidR="00E7404F" w:rsidRPr="00E7404F" w14:paraId="33A4DC4B" w14:textId="77777777" w:rsidTr="00356EA2">
        <w:tc>
          <w:tcPr>
            <w:tcW w:w="4111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0564283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Does this require sponsor/CRO-site discussion, role clarification, site workflow planning, or coordination across multiple site roles or study functions?</w:t>
            </w:r>
          </w:p>
        </w:tc>
        <w:tc>
          <w:tcPr>
            <w:tcW w:w="2544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84290A1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Use live SIV time for interaction, alignment, scenario review, or workflow planning.</w:t>
            </w:r>
          </w:p>
        </w:tc>
        <w:tc>
          <w:tcPr>
            <w:tcW w:w="2695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CB33FD6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Move to reusable training, job aid, vendor training, or reference material.</w:t>
            </w:r>
          </w:p>
        </w:tc>
      </w:tr>
      <w:tr w:rsidR="00E7404F" w:rsidRPr="00E7404F" w14:paraId="71B17E59" w14:textId="77777777" w:rsidTr="00356EA2">
        <w:tc>
          <w:tcPr>
            <w:tcW w:w="4111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6A40448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Does this involve a sponsor/CRO-specific expectation that differs from common practice or prior training?</w:t>
            </w:r>
          </w:p>
        </w:tc>
        <w:tc>
          <w:tcPr>
            <w:tcW w:w="2544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D453298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Address as sponsor/CRO-specific delta training.</w:t>
            </w:r>
          </w:p>
        </w:tc>
        <w:tc>
          <w:tcPr>
            <w:tcW w:w="2695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2B2D567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Consider whether prior evidence, reusable training, or a job aid is sufficient.</w:t>
            </w:r>
          </w:p>
        </w:tc>
      </w:tr>
      <w:tr w:rsidR="00E7404F" w:rsidRPr="00E7404F" w14:paraId="5AF3DE59" w14:textId="77777777" w:rsidTr="00356EA2">
        <w:tc>
          <w:tcPr>
            <w:tcW w:w="4111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149036F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Does this content support a readiness discussion that only the sponsor/CRO and site can have together?</w:t>
            </w:r>
          </w:p>
        </w:tc>
        <w:tc>
          <w:tcPr>
            <w:tcW w:w="2544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91590C4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Protect for live SIV discussion, scenario review, or role-specific planning.</w:t>
            </w:r>
          </w:p>
        </w:tc>
        <w:tc>
          <w:tcPr>
            <w:tcW w:w="2695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B5F8812" w14:textId="77777777" w:rsidR="00E7404F" w:rsidRPr="00356EA2" w:rsidRDefault="7DF48AB8" w:rsidP="00513C49">
            <w:pPr>
              <w:spacing w:after="0"/>
              <w:rPr>
                <w:rFonts w:ascii="Segoe UI" w:eastAsia="Segoe UI" w:hAnsi="Segoe UI" w:cs="Segoe UI"/>
                <w:color w:val="000000"/>
                <w:sz w:val="21"/>
                <w:szCs w:val="20"/>
              </w:rPr>
            </w:pPr>
            <w:r w:rsidRPr="00356EA2">
              <w:rPr>
                <w:rFonts w:ascii="Segoe UI" w:eastAsia="Segoe UI" w:hAnsi="Segoe UI" w:cs="Segoe UI"/>
                <w:color w:val="003C56" w:themeColor="text1"/>
                <w:sz w:val="21"/>
                <w:szCs w:val="20"/>
              </w:rPr>
              <w:t>Move to reusable training, vendor training, job aid, reference material, or point-of-use reinforcement.</w:t>
            </w:r>
          </w:p>
        </w:tc>
      </w:tr>
    </w:tbl>
    <w:p w14:paraId="38C6D015" w14:textId="77777777" w:rsidR="000853BC" w:rsidRDefault="000853BC" w:rsidP="00513C49">
      <w:pPr>
        <w:rPr>
          <w:rFonts w:ascii="Segoe UI" w:eastAsia="Segoe UI" w:hAnsi="Segoe UI" w:cs="Segoe UI"/>
        </w:rPr>
      </w:pPr>
    </w:p>
    <w:sectPr w:rsidR="000853B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9826AF" w14:textId="77777777" w:rsidR="00411F66" w:rsidRDefault="00411F66">
      <w:pPr>
        <w:spacing w:after="0"/>
      </w:pPr>
      <w:r>
        <w:separator/>
      </w:r>
    </w:p>
  </w:endnote>
  <w:endnote w:type="continuationSeparator" w:id="0">
    <w:p w14:paraId="60AD9352" w14:textId="77777777" w:rsidR="00411F66" w:rsidRDefault="00411F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0E5E462" w14:paraId="7C6CA8A8" w14:textId="77777777" w:rsidTr="30E5E462">
      <w:trPr>
        <w:trHeight w:val="300"/>
      </w:trPr>
      <w:tc>
        <w:tcPr>
          <w:tcW w:w="3120" w:type="dxa"/>
        </w:tcPr>
        <w:p w14:paraId="7E1C66B3" w14:textId="5B152775" w:rsidR="30E5E462" w:rsidRDefault="30E5E462" w:rsidP="30E5E462">
          <w:pPr>
            <w:pStyle w:val="Header"/>
            <w:ind w:left="-115"/>
          </w:pPr>
        </w:p>
      </w:tc>
      <w:tc>
        <w:tcPr>
          <w:tcW w:w="3120" w:type="dxa"/>
        </w:tcPr>
        <w:p w14:paraId="02F73A5C" w14:textId="40A457E4" w:rsidR="30E5E462" w:rsidRDefault="30E5E462" w:rsidP="30E5E462">
          <w:pPr>
            <w:pStyle w:val="Header"/>
            <w:jc w:val="center"/>
          </w:pPr>
        </w:p>
      </w:tc>
      <w:tc>
        <w:tcPr>
          <w:tcW w:w="3120" w:type="dxa"/>
        </w:tcPr>
        <w:p w14:paraId="0308E418" w14:textId="7D9E5AA1" w:rsidR="30E5E462" w:rsidRDefault="30E5E462" w:rsidP="30E5E462">
          <w:pPr>
            <w:pStyle w:val="Header"/>
            <w:ind w:right="-115"/>
            <w:jc w:val="right"/>
          </w:pPr>
        </w:p>
      </w:tc>
    </w:tr>
  </w:tbl>
  <w:p w14:paraId="6B6BDAB2" w14:textId="7AD7FA49" w:rsidR="30E5E462" w:rsidRDefault="00C01E75" w:rsidP="30E5E462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24C17B7" wp14:editId="71E08220">
          <wp:simplePos x="0" y="0"/>
          <wp:positionH relativeFrom="margin">
            <wp:posOffset>-1452880</wp:posOffset>
          </wp:positionH>
          <wp:positionV relativeFrom="margin">
            <wp:posOffset>4876550</wp:posOffset>
          </wp:positionV>
          <wp:extent cx="8855197" cy="2123923"/>
          <wp:effectExtent l="0" t="1803400" r="0" b="1724660"/>
          <wp:wrapNone/>
          <wp:docPr id="10663710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817296" name="Picture 1033817296"/>
                  <pic:cNvPicPr/>
                </pic:nvPicPr>
                <pic:blipFill>
                  <a:blip r:embed="rId1">
                    <a:alphaModFix amt="10000"/>
                  </a:blip>
                  <a:stretch>
                    <a:fillRect/>
                  </a:stretch>
                </pic:blipFill>
                <pic:spPr>
                  <a:xfrm rot="19334964">
                    <a:off x="0" y="0"/>
                    <a:ext cx="8855197" cy="2123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9F1035" w14:textId="77777777" w:rsidR="00411F66" w:rsidRDefault="00411F66">
      <w:pPr>
        <w:spacing w:after="0"/>
      </w:pPr>
      <w:r>
        <w:separator/>
      </w:r>
    </w:p>
  </w:footnote>
  <w:footnote w:type="continuationSeparator" w:id="0">
    <w:p w14:paraId="56E14B7F" w14:textId="77777777" w:rsidR="00411F66" w:rsidRDefault="00411F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0CFD19" w14:textId="28C49BC5" w:rsidR="30E5E462" w:rsidRDefault="30E5E462" w:rsidP="30E5E462">
    <w:pPr>
      <w:pStyle w:val="Header"/>
      <w:rPr>
        <w:rFonts w:ascii="Segoe UI" w:eastAsia="Segoe UI" w:hAnsi="Segoe UI" w:cs="Segoe UI"/>
        <w:color w:val="003C56" w:themeColor="text1"/>
        <w:sz w:val="20"/>
        <w:szCs w:val="20"/>
      </w:rPr>
    </w:pPr>
    <w:r w:rsidRPr="30E5E462">
      <w:rPr>
        <w:rFonts w:ascii="Segoe UI" w:eastAsia="Segoe UI" w:hAnsi="Segoe UI" w:cs="Segoe UI"/>
        <w:b/>
        <w:bCs/>
        <w:color w:val="003C56" w:themeColor="text1"/>
        <w:sz w:val="20"/>
        <w:szCs w:val="20"/>
      </w:rPr>
      <w:t>Site Training Reform: Supporting Tool for SIV Companion Paper</w:t>
    </w:r>
  </w:p>
  <w:p w14:paraId="243663D9" w14:textId="243DD639" w:rsidR="30E5E462" w:rsidRDefault="30E5E462" w:rsidP="30E5E462">
    <w:pPr>
      <w:pStyle w:val="Header"/>
      <w:rPr>
        <w:rFonts w:ascii="Segoe UI" w:eastAsia="Segoe UI" w:hAnsi="Segoe UI" w:cs="Segoe UI"/>
        <w:color w:val="003C56" w:themeColor="text1"/>
        <w:sz w:val="20"/>
        <w:szCs w:val="20"/>
      </w:rPr>
    </w:pPr>
    <w:r w:rsidRPr="30E5E462">
      <w:rPr>
        <w:rFonts w:ascii="Segoe UI" w:eastAsia="Segoe UI" w:hAnsi="Segoe UI" w:cs="Segoe UI"/>
        <w:color w:val="003C56" w:themeColor="text1"/>
        <w:sz w:val="20"/>
        <w:szCs w:val="20"/>
      </w:rPr>
      <w:t>Site-Sponsor Consortium | An Advarra Initiative</w:t>
    </w:r>
  </w:p>
  <w:p w14:paraId="704C4713" w14:textId="73C5804D" w:rsidR="30E5E462" w:rsidRDefault="00C01E75" w:rsidP="30E5E46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5F6D5BA" wp14:editId="4AA9CD83">
          <wp:simplePos x="0" y="0"/>
          <wp:positionH relativeFrom="margin">
            <wp:posOffset>-1453203</wp:posOffset>
          </wp:positionH>
          <wp:positionV relativeFrom="margin">
            <wp:posOffset>1138669</wp:posOffset>
          </wp:positionV>
          <wp:extent cx="8855197" cy="2123923"/>
          <wp:effectExtent l="0" t="1803400" r="0" b="1724660"/>
          <wp:wrapNone/>
          <wp:docPr id="12533681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817296" name="Picture 1033817296"/>
                  <pic:cNvPicPr/>
                </pic:nvPicPr>
                <pic:blipFill>
                  <a:blip r:embed="rId1">
                    <a:alphaModFix amt="10000"/>
                  </a:blip>
                  <a:stretch>
                    <a:fillRect/>
                  </a:stretch>
                </pic:blipFill>
                <pic:spPr>
                  <a:xfrm rot="19334964">
                    <a:off x="0" y="0"/>
                    <a:ext cx="8855197" cy="2123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6FF"/>
    <w:rsid w:val="000233D2"/>
    <w:rsid w:val="000853BC"/>
    <w:rsid w:val="0028456B"/>
    <w:rsid w:val="002B5152"/>
    <w:rsid w:val="00356EA2"/>
    <w:rsid w:val="003C718B"/>
    <w:rsid w:val="00411F66"/>
    <w:rsid w:val="004269A9"/>
    <w:rsid w:val="00492DC3"/>
    <w:rsid w:val="004F222E"/>
    <w:rsid w:val="00513C49"/>
    <w:rsid w:val="0057735A"/>
    <w:rsid w:val="00611DB5"/>
    <w:rsid w:val="006159E3"/>
    <w:rsid w:val="00632C2B"/>
    <w:rsid w:val="006E0C76"/>
    <w:rsid w:val="006F23B5"/>
    <w:rsid w:val="00821A4E"/>
    <w:rsid w:val="008506FF"/>
    <w:rsid w:val="00912C17"/>
    <w:rsid w:val="00AA60BB"/>
    <w:rsid w:val="00AD75AF"/>
    <w:rsid w:val="00BD752A"/>
    <w:rsid w:val="00C01E75"/>
    <w:rsid w:val="00C146E3"/>
    <w:rsid w:val="00C818C3"/>
    <w:rsid w:val="00CA043F"/>
    <w:rsid w:val="00D43750"/>
    <w:rsid w:val="00DA11C5"/>
    <w:rsid w:val="00E20D5C"/>
    <w:rsid w:val="00E7404F"/>
    <w:rsid w:val="00EB245D"/>
    <w:rsid w:val="00F87818"/>
    <w:rsid w:val="00FB45AD"/>
    <w:rsid w:val="222A05F6"/>
    <w:rsid w:val="30E5E462"/>
    <w:rsid w:val="52507796"/>
    <w:rsid w:val="5BF596FD"/>
    <w:rsid w:val="7DF48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AB2A1F"/>
  <w15:chartTrackingRefBased/>
  <w15:docId w15:val="{607AA3CA-49CE-42B5-A695-C4C9D7B27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6FF"/>
    <w:pPr>
      <w:spacing w:after="120" w:line="240" w:lineRule="auto"/>
    </w:pPr>
    <w:rPr>
      <w:rFonts w:ascii="Aptos" w:eastAsia="Aptos" w:hAnsi="Aptos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06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03C54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6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03C54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6F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03C54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6F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03C54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6F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03C54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6F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00A2E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6F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00A2E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6F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006896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6F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006896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6FF"/>
    <w:rPr>
      <w:rFonts w:asciiTheme="majorHAnsi" w:eastAsiaTheme="majorEastAsia" w:hAnsiTheme="majorHAnsi" w:cstheme="majorBidi"/>
      <w:color w:val="003C54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6FF"/>
    <w:rPr>
      <w:rFonts w:asciiTheme="majorHAnsi" w:eastAsiaTheme="majorEastAsia" w:hAnsiTheme="majorHAnsi" w:cstheme="majorBidi"/>
      <w:color w:val="003C5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6FF"/>
    <w:rPr>
      <w:rFonts w:eastAsiaTheme="majorEastAsia" w:cstheme="majorBidi"/>
      <w:color w:val="003C5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6FF"/>
    <w:rPr>
      <w:rFonts w:eastAsiaTheme="majorEastAsia" w:cstheme="majorBidi"/>
      <w:i/>
      <w:iCs/>
      <w:color w:val="003C54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6FF"/>
    <w:rPr>
      <w:rFonts w:eastAsiaTheme="majorEastAsia" w:cstheme="majorBidi"/>
      <w:color w:val="003C5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6FF"/>
    <w:rPr>
      <w:rFonts w:eastAsiaTheme="majorEastAsia" w:cstheme="majorBidi"/>
      <w:i/>
      <w:iCs/>
      <w:color w:val="00A2E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6FF"/>
    <w:rPr>
      <w:rFonts w:eastAsiaTheme="majorEastAsia" w:cstheme="majorBidi"/>
      <w:color w:val="00A2E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6FF"/>
    <w:rPr>
      <w:rFonts w:eastAsiaTheme="majorEastAsia" w:cstheme="majorBidi"/>
      <w:i/>
      <w:iCs/>
      <w:color w:val="006896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6FF"/>
    <w:rPr>
      <w:rFonts w:eastAsiaTheme="majorEastAsia" w:cstheme="majorBidi"/>
      <w:color w:val="006896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6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0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6F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00A2E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06FF"/>
    <w:rPr>
      <w:rFonts w:eastAsiaTheme="majorEastAsia" w:cstheme="majorBidi"/>
      <w:color w:val="00A2E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6F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0085C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06FF"/>
    <w:rPr>
      <w:i/>
      <w:iCs/>
      <w:color w:val="0085C0" w:themeColor="text1" w:themeTint="BF"/>
    </w:rPr>
  </w:style>
  <w:style w:type="paragraph" w:styleId="ListParagraph">
    <w:name w:val="List Paragraph"/>
    <w:basedOn w:val="Normal"/>
    <w:uiPriority w:val="34"/>
    <w:qFormat/>
    <w:rsid w:val="008506FF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06FF"/>
    <w:rPr>
      <w:i/>
      <w:iCs/>
      <w:color w:val="003C5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6FF"/>
    <w:pPr>
      <w:pBdr>
        <w:top w:val="single" w:sz="4" w:space="10" w:color="003C54" w:themeColor="accent1" w:themeShade="BF"/>
        <w:bottom w:val="single" w:sz="4" w:space="10" w:color="003C54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03C54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6FF"/>
    <w:rPr>
      <w:i/>
      <w:iCs/>
      <w:color w:val="003C5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6FF"/>
    <w:rPr>
      <w:b/>
      <w:bCs/>
      <w:smallCaps/>
      <w:color w:val="003C54" w:themeColor="accent1" w:themeShade="BF"/>
      <w:spacing w:val="5"/>
    </w:rPr>
  </w:style>
  <w:style w:type="paragraph" w:styleId="Revision">
    <w:name w:val="Revision"/>
    <w:hidden/>
    <w:uiPriority w:val="99"/>
    <w:semiHidden/>
    <w:rsid w:val="006E0C76"/>
    <w:pPr>
      <w:spacing w:after="0" w:line="240" w:lineRule="auto"/>
    </w:pPr>
    <w:rPr>
      <w:rFonts w:ascii="Aptos" w:eastAsia="Aptos" w:hAnsi="Aptos"/>
      <w:kern w:val="0"/>
      <w:szCs w:val="22"/>
      <w14:ligatures w14:val="none"/>
    </w:rPr>
  </w:style>
  <w:style w:type="paragraph" w:styleId="Header">
    <w:name w:val="header"/>
    <w:basedOn w:val="Normal"/>
    <w:uiPriority w:val="99"/>
    <w:unhideWhenUsed/>
    <w:rsid w:val="30E5E462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30E5E462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3C56" w:themeColor="text1"/>
        <w:left w:val="single" w:sz="4" w:space="0" w:color="003C56" w:themeColor="text1"/>
        <w:bottom w:val="single" w:sz="4" w:space="0" w:color="003C56" w:themeColor="text1"/>
        <w:right w:val="single" w:sz="4" w:space="0" w:color="003C56" w:themeColor="text1"/>
        <w:insideH w:val="single" w:sz="4" w:space="0" w:color="003C56" w:themeColor="text1"/>
        <w:insideV w:val="single" w:sz="4" w:space="0" w:color="003C56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">
  <a:themeElements>
    <a:clrScheme name="Advarra 2026">
      <a:dk1>
        <a:srgbClr val="003C56"/>
      </a:dk1>
      <a:lt1>
        <a:srgbClr val="FFFFFF"/>
      </a:lt1>
      <a:dk2>
        <a:srgbClr val="B1B4B5"/>
      </a:dk2>
      <a:lt2>
        <a:srgbClr val="007EA3"/>
      </a:lt2>
      <a:accent1>
        <a:srgbClr val="005171"/>
      </a:accent1>
      <a:accent2>
        <a:srgbClr val="003C56"/>
      </a:accent2>
      <a:accent3>
        <a:srgbClr val="6950B9"/>
      </a:accent3>
      <a:accent4>
        <a:srgbClr val="BBF31E"/>
      </a:accent4>
      <a:accent5>
        <a:srgbClr val="92D300"/>
      </a:accent5>
      <a:accent6>
        <a:srgbClr val="6C9302"/>
      </a:accent6>
      <a:hlink>
        <a:srgbClr val="007EA3"/>
      </a:hlink>
      <a:folHlink>
        <a:srgbClr val="193A5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Senn</dc:creator>
  <cp:keywords/>
  <dc:description/>
  <cp:lastModifiedBy>Microsoft Office User</cp:lastModifiedBy>
  <cp:revision>4</cp:revision>
  <dcterms:created xsi:type="dcterms:W3CDTF">2026-10-12T11:34:00Z</dcterms:created>
  <dcterms:modified xsi:type="dcterms:W3CDTF">2026-10-12T11:36:00Z</dcterms:modified>
</cp:coreProperties>
</file>