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98FE0" w14:textId="6184CA27" w:rsidR="0073579E" w:rsidRDefault="60D0F284" w:rsidP="74ED4EDC">
      <w:pPr>
        <w:spacing w:before="240"/>
        <w:rPr>
          <w:rFonts w:ascii="Segoe UI" w:eastAsia="Segoe UI" w:hAnsi="Segoe UI" w:cs="Segoe UI"/>
          <w:b/>
          <w:bCs/>
          <w:color w:val="003C56" w:themeColor="text1"/>
        </w:rPr>
      </w:pPr>
      <w:r w:rsidRPr="74ED4EDC">
        <w:rPr>
          <w:rFonts w:ascii="Segoe UI" w:eastAsia="Segoe UI" w:hAnsi="Segoe UI" w:cs="Segoe UI"/>
          <w:b/>
          <w:bCs/>
          <w:color w:val="003C56" w:themeColor="text1"/>
        </w:rPr>
        <w:t xml:space="preserve">Tool </w:t>
      </w:r>
      <w:r w:rsidR="13F15A16" w:rsidRPr="74ED4EDC">
        <w:rPr>
          <w:rFonts w:ascii="Segoe UI" w:eastAsia="Segoe UI" w:hAnsi="Segoe UI" w:cs="Segoe UI"/>
          <w:b/>
          <w:bCs/>
          <w:color w:val="003C56" w:themeColor="text1"/>
        </w:rPr>
        <w:t>F</w:t>
      </w:r>
      <w:r w:rsidRPr="74ED4EDC">
        <w:rPr>
          <w:rFonts w:ascii="Segoe UI" w:eastAsia="Segoe UI" w:hAnsi="Segoe UI" w:cs="Segoe UI"/>
          <w:b/>
          <w:bCs/>
          <w:color w:val="003C56" w:themeColor="text1"/>
        </w:rPr>
        <w:t xml:space="preserve">: </w:t>
      </w:r>
      <w:r w:rsidR="78A1D97F" w:rsidRPr="74ED4EDC">
        <w:rPr>
          <w:rFonts w:ascii="Segoe UI" w:eastAsia="Segoe UI" w:hAnsi="Segoe UI" w:cs="Segoe UI"/>
          <w:b/>
          <w:bCs/>
          <w:color w:val="003C56" w:themeColor="text1"/>
        </w:rPr>
        <w:t>Reusable Core Readiness Content Map</w:t>
      </w:r>
    </w:p>
    <w:p w14:paraId="125DC4B1" w14:textId="4814179B" w:rsidR="00B64FAC" w:rsidRPr="00B64FAC" w:rsidRDefault="2C9951DA" w:rsidP="74ED4EDC">
      <w:pPr>
        <w:rPr>
          <w:rFonts w:ascii="Segoe UI" w:eastAsia="Segoe UI" w:hAnsi="Segoe UI" w:cs="Segoe UI"/>
          <w:color w:val="000000"/>
        </w:rPr>
      </w:pPr>
      <w:r w:rsidRPr="74ED4EDC">
        <w:rPr>
          <w:rFonts w:ascii="Segoe UI" w:eastAsia="Segoe UI" w:hAnsi="Segoe UI" w:cs="Segoe UI"/>
          <w:color w:val="003C56" w:themeColor="text1"/>
        </w:rPr>
        <w:t xml:space="preserve">The generic SIV module should be version-controlled, reviewed at defined intervals, assigned by role </w:t>
      </w:r>
      <w:r w:rsidR="47D2E8FD" w:rsidRPr="74ED4EDC">
        <w:rPr>
          <w:rFonts w:ascii="Segoe UI" w:eastAsia="Segoe UI" w:hAnsi="Segoe UI" w:cs="Segoe UI"/>
          <w:color w:val="003C56" w:themeColor="text1"/>
        </w:rPr>
        <w:t>and delegated responsibility</w:t>
      </w:r>
      <w:r w:rsidR="6B7216F6" w:rsidRPr="74ED4EDC">
        <w:rPr>
          <w:rFonts w:ascii="Segoe UI" w:eastAsia="Segoe UI" w:hAnsi="Segoe UI" w:cs="Segoe UI"/>
          <w:color w:val="003C56" w:themeColor="text1"/>
        </w:rPr>
        <w:t xml:space="preserve"> </w:t>
      </w:r>
      <w:r w:rsidRPr="74ED4EDC">
        <w:rPr>
          <w:rFonts w:ascii="Segoe UI" w:eastAsia="Segoe UI" w:hAnsi="Segoe UI" w:cs="Segoe UI"/>
          <w:color w:val="003C56" w:themeColor="text1"/>
        </w:rPr>
        <w:t>where possible, and supplemented only when a protocol, sponsor/CRO process, or operational workflow introduces a material delta.</w:t>
      </w:r>
      <w:r w:rsidR="00B64FAC">
        <w:br/>
      </w:r>
      <w:r w:rsidR="00B64FAC">
        <w:br/>
      </w:r>
      <w:r w:rsidR="2A19BF53" w:rsidRPr="74ED4EDC">
        <w:rPr>
          <w:rFonts w:ascii="Segoe UI" w:eastAsia="Segoe UI" w:hAnsi="Segoe UI" w:cs="Segoe UI"/>
          <w:b/>
          <w:bCs/>
          <w:color w:val="003C56" w:themeColor="text1"/>
        </w:rPr>
        <w:t xml:space="preserve">Equivalence Review Note: </w:t>
      </w:r>
      <w:r w:rsidR="2A19BF53" w:rsidRPr="74ED4EDC">
        <w:rPr>
          <w:rFonts w:ascii="Segoe UI" w:eastAsia="Segoe UI" w:hAnsi="Segoe UI" w:cs="Segoe UI"/>
          <w:color w:val="003C56" w:themeColor="text1"/>
        </w:rPr>
        <w:t>Recognition of prior generic SIV or core site-readiness training should be based on documented comparison to the sponsor/CRO’s accepted content map. Equivalence is not assumed; it is reviewed. Recognition is not automatic; it is documented. Delta training remains required where gaps exist.</w:t>
      </w:r>
      <w:r w:rsidR="65251448" w:rsidRPr="74ED4EDC">
        <w:rPr>
          <w:rFonts w:ascii="Segoe UI" w:eastAsia="Segoe UI" w:hAnsi="Segoe UI" w:cs="Segoe UI"/>
          <w:color w:val="003C56" w:themeColor="text1"/>
        </w:rPr>
        <w:t xml:space="preserve"> The recognition decision and any required delta training should be documented using Tool C or an equivalent decision record.</w:t>
      </w:r>
      <w:r w:rsidR="00B64FAC">
        <w:br/>
      </w:r>
    </w:p>
    <w:tbl>
      <w:tblPr>
        <w:tblW w:w="9625" w:type="dxa"/>
        <w:jc w:val="center"/>
        <w:tblLook w:val="04A0" w:firstRow="1" w:lastRow="0" w:firstColumn="1" w:lastColumn="0" w:noHBand="0" w:noVBand="1"/>
      </w:tblPr>
      <w:tblGrid>
        <w:gridCol w:w="1795"/>
        <w:gridCol w:w="2520"/>
        <w:gridCol w:w="2206"/>
        <w:gridCol w:w="3104"/>
      </w:tblGrid>
      <w:tr w:rsidR="00237064" w14:paraId="1EBC313B" w14:textId="07EB6028" w:rsidTr="0070254F">
        <w:trPr>
          <w:tblHeader/>
          <w:jc w:val="center"/>
        </w:trPr>
        <w:tc>
          <w:tcPr>
            <w:tcW w:w="1795" w:type="dxa"/>
            <w:shd w:val="clear" w:color="auto" w:fill="005171" w:themeFill="accent1"/>
            <w:tcMar>
              <w:top w:w="142" w:type="dxa"/>
              <w:left w:w="142" w:type="dxa"/>
              <w:bottom w:w="142" w:type="dxa"/>
              <w:right w:w="142" w:type="dxa"/>
            </w:tcMar>
          </w:tcPr>
          <w:p w14:paraId="5B0BCDF7" w14:textId="77777777" w:rsidR="00237064" w:rsidRPr="00624443" w:rsidRDefault="59836F98" w:rsidP="74ED4EDC">
            <w:pPr>
              <w:spacing w:after="0"/>
              <w:rPr>
                <w:rFonts w:ascii="Segoe UI" w:eastAsia="Segoe UI" w:hAnsi="Segoe UI" w:cs="Segoe UI"/>
                <w:b/>
                <w:bCs/>
                <w:color w:val="FFFFFF" w:themeColor="background1"/>
              </w:rPr>
            </w:pPr>
            <w:r w:rsidRPr="00624443">
              <w:rPr>
                <w:rFonts w:ascii="Segoe UI" w:eastAsia="Segoe UI" w:hAnsi="Segoe UI" w:cs="Segoe UI"/>
                <w:b/>
                <w:bCs/>
                <w:color w:val="FFFFFF" w:themeColor="background1"/>
              </w:rPr>
              <w:t>Topic</w:t>
            </w:r>
          </w:p>
        </w:tc>
        <w:tc>
          <w:tcPr>
            <w:tcW w:w="2520" w:type="dxa"/>
            <w:shd w:val="clear" w:color="auto" w:fill="005171" w:themeFill="accent1"/>
            <w:tcMar>
              <w:top w:w="142" w:type="dxa"/>
              <w:left w:w="142" w:type="dxa"/>
              <w:bottom w:w="142" w:type="dxa"/>
              <w:right w:w="142" w:type="dxa"/>
            </w:tcMar>
          </w:tcPr>
          <w:p w14:paraId="6EE95D9C" w14:textId="343B8C1E" w:rsidR="00237064" w:rsidRPr="00624443" w:rsidRDefault="1E35B2A5" w:rsidP="74ED4EDC">
            <w:pPr>
              <w:spacing w:after="0"/>
              <w:rPr>
                <w:rFonts w:ascii="Segoe UI" w:eastAsia="Segoe UI" w:hAnsi="Segoe UI" w:cs="Segoe UI"/>
                <w:b/>
                <w:bCs/>
                <w:color w:val="FFFFFF" w:themeColor="background1"/>
              </w:rPr>
            </w:pPr>
            <w:r w:rsidRPr="00624443">
              <w:rPr>
                <w:rFonts w:ascii="Segoe UI" w:eastAsia="Segoe UI" w:hAnsi="Segoe UI" w:cs="Segoe UI"/>
                <w:b/>
                <w:bCs/>
                <w:color w:val="FFFFFF" w:themeColor="background1"/>
              </w:rPr>
              <w:t>Reusable core content outside the live SIV</w:t>
            </w:r>
          </w:p>
        </w:tc>
        <w:tc>
          <w:tcPr>
            <w:tcW w:w="2206" w:type="dxa"/>
            <w:shd w:val="clear" w:color="auto" w:fill="005171" w:themeFill="accent1"/>
            <w:tcMar>
              <w:top w:w="142" w:type="dxa"/>
              <w:left w:w="142" w:type="dxa"/>
              <w:bottom w:w="142" w:type="dxa"/>
              <w:right w:w="142" w:type="dxa"/>
            </w:tcMar>
          </w:tcPr>
          <w:p w14:paraId="09B9248F" w14:textId="77777777" w:rsidR="00237064" w:rsidRPr="00624443" w:rsidRDefault="59836F98" w:rsidP="74ED4EDC">
            <w:pPr>
              <w:spacing w:after="0"/>
              <w:rPr>
                <w:rFonts w:ascii="Segoe UI" w:eastAsia="Segoe UI" w:hAnsi="Segoe UI" w:cs="Segoe UI"/>
                <w:b/>
                <w:bCs/>
                <w:color w:val="FFFFFF" w:themeColor="background1"/>
              </w:rPr>
            </w:pPr>
            <w:r w:rsidRPr="00624443">
              <w:rPr>
                <w:rFonts w:ascii="Segoe UI" w:eastAsia="Segoe UI" w:hAnsi="Segoe UI" w:cs="Segoe UI"/>
                <w:b/>
                <w:bCs/>
                <w:color w:val="FFFFFF" w:themeColor="background1"/>
              </w:rPr>
              <w:t>Keep as study-specific delta</w:t>
            </w:r>
          </w:p>
        </w:tc>
        <w:tc>
          <w:tcPr>
            <w:tcW w:w="3104" w:type="dxa"/>
            <w:shd w:val="clear" w:color="auto" w:fill="005171" w:themeFill="accent1"/>
            <w:tcMar>
              <w:top w:w="142" w:type="dxa"/>
              <w:left w:w="142" w:type="dxa"/>
              <w:bottom w:w="142" w:type="dxa"/>
              <w:right w:w="142" w:type="dxa"/>
            </w:tcMar>
          </w:tcPr>
          <w:p w14:paraId="6BD49D8B" w14:textId="740E47DB" w:rsidR="00237064" w:rsidRPr="00624443" w:rsidRDefault="17E9B579" w:rsidP="74ED4EDC">
            <w:pPr>
              <w:spacing w:after="0"/>
              <w:rPr>
                <w:rFonts w:ascii="Segoe UI" w:eastAsia="Segoe UI" w:hAnsi="Segoe UI" w:cs="Segoe UI"/>
                <w:b/>
                <w:bCs/>
                <w:color w:val="FFFFFF" w:themeColor="background1"/>
              </w:rPr>
            </w:pPr>
            <w:r w:rsidRPr="00624443">
              <w:rPr>
                <w:rFonts w:ascii="Segoe UI" w:eastAsia="Segoe UI" w:hAnsi="Segoe UI" w:cs="Segoe UI"/>
                <w:b/>
                <w:bCs/>
                <w:color w:val="FFFFFF" w:themeColor="background1"/>
              </w:rPr>
              <w:t xml:space="preserve">Recognition / </w:t>
            </w:r>
            <w:r w:rsidR="5BF60FBD" w:rsidRPr="00624443">
              <w:rPr>
                <w:rFonts w:ascii="Segoe UI" w:eastAsia="Segoe UI" w:hAnsi="Segoe UI" w:cs="Segoe UI"/>
                <w:b/>
                <w:bCs/>
                <w:color w:val="FFFFFF" w:themeColor="background1"/>
              </w:rPr>
              <w:t>r</w:t>
            </w:r>
            <w:r w:rsidRPr="00624443">
              <w:rPr>
                <w:rFonts w:ascii="Segoe UI" w:eastAsia="Segoe UI" w:hAnsi="Segoe UI" w:cs="Segoe UI"/>
                <w:b/>
                <w:bCs/>
                <w:color w:val="FFFFFF" w:themeColor="background1"/>
              </w:rPr>
              <w:t xml:space="preserve">efresh </w:t>
            </w:r>
            <w:r w:rsidR="7E74C8E4" w:rsidRPr="00624443">
              <w:rPr>
                <w:rFonts w:ascii="Segoe UI" w:eastAsia="Segoe UI" w:hAnsi="Segoe UI" w:cs="Segoe UI"/>
                <w:b/>
                <w:bCs/>
                <w:color w:val="FFFFFF" w:themeColor="background1"/>
              </w:rPr>
              <w:t>approach</w:t>
            </w:r>
          </w:p>
        </w:tc>
      </w:tr>
      <w:tr w:rsidR="003E0DBE" w14:paraId="1A6BAB06" w14:textId="56793993" w:rsidTr="00624443">
        <w:trPr>
          <w:jc w:val="center"/>
        </w:trPr>
        <w:tc>
          <w:tcPr>
            <w:tcW w:w="1795" w:type="dxa"/>
            <w:tcMar>
              <w:top w:w="142" w:type="dxa"/>
              <w:left w:w="142" w:type="dxa"/>
              <w:bottom w:w="142" w:type="dxa"/>
              <w:right w:w="142" w:type="dxa"/>
            </w:tcMar>
          </w:tcPr>
          <w:p w14:paraId="34B96F83"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GCP and investigator responsibilities</w:t>
            </w:r>
          </w:p>
        </w:tc>
        <w:tc>
          <w:tcPr>
            <w:tcW w:w="2520" w:type="dxa"/>
            <w:tcMar>
              <w:top w:w="142" w:type="dxa"/>
              <w:left w:w="142" w:type="dxa"/>
              <w:bottom w:w="142" w:type="dxa"/>
              <w:right w:w="142" w:type="dxa"/>
            </w:tcMar>
          </w:tcPr>
          <w:p w14:paraId="48F7CE94" w14:textId="4409F4C2"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Core GCP principles, PI oversight, staff delegation, qualification and training documentation, investigator responsibilities</w:t>
            </w:r>
          </w:p>
        </w:tc>
        <w:tc>
          <w:tcPr>
            <w:tcW w:w="2206" w:type="dxa"/>
            <w:tcMar>
              <w:top w:w="142" w:type="dxa"/>
              <w:left w:w="142" w:type="dxa"/>
              <w:bottom w:w="142" w:type="dxa"/>
              <w:right w:w="142" w:type="dxa"/>
            </w:tcMar>
          </w:tcPr>
          <w:p w14:paraId="65BCE35F" w14:textId="4CFF8AFF"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Protocol-specific delegation nuances, sponsor/CRO oversight expectations, study-specific escalation pathways</w:t>
            </w:r>
          </w:p>
        </w:tc>
        <w:tc>
          <w:tcPr>
            <w:tcW w:w="3104" w:type="dxa"/>
            <w:tcMar>
              <w:top w:w="142" w:type="dxa"/>
              <w:left w:w="142" w:type="dxa"/>
              <w:bottom w:w="142" w:type="dxa"/>
              <w:right w:w="142" w:type="dxa"/>
            </w:tcMar>
          </w:tcPr>
          <w:p w14:paraId="03A2AFB9" w14:textId="36E67443"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Accept current GCP/HSP training, professional certification, institutional training records, or targeted verification when role-aligned and current. Refresh when regulations, guidance, sponsor/CRO expectations, or role responsibilities materially change.</w:t>
            </w:r>
          </w:p>
        </w:tc>
      </w:tr>
      <w:tr w:rsidR="003E0DBE" w14:paraId="010F114D" w14:textId="0C2F1FC1" w:rsidTr="00624443">
        <w:trPr>
          <w:jc w:val="center"/>
        </w:trPr>
        <w:tc>
          <w:tcPr>
            <w:tcW w:w="1795" w:type="dxa"/>
            <w:shd w:val="clear" w:color="auto" w:fill="EFEFF0" w:themeFill="text2" w:themeFillTint="33"/>
            <w:tcMar>
              <w:top w:w="142" w:type="dxa"/>
              <w:left w:w="142" w:type="dxa"/>
              <w:bottom w:w="142" w:type="dxa"/>
              <w:right w:w="142" w:type="dxa"/>
            </w:tcMar>
          </w:tcPr>
          <w:p w14:paraId="2F8CD428"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Informed consent principles</w:t>
            </w:r>
          </w:p>
        </w:tc>
        <w:tc>
          <w:tcPr>
            <w:tcW w:w="2520" w:type="dxa"/>
            <w:shd w:val="clear" w:color="auto" w:fill="EFEFF0" w:themeFill="text2" w:themeFillTint="33"/>
            <w:tcMar>
              <w:top w:w="142" w:type="dxa"/>
              <w:left w:w="142" w:type="dxa"/>
              <w:bottom w:w="142" w:type="dxa"/>
              <w:right w:w="142" w:type="dxa"/>
            </w:tcMar>
          </w:tcPr>
          <w:p w14:paraId="48B3C73E" w14:textId="02842E49"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Foundational consent principles, timing, documentation, participant questions, re-consent concepts, withdrawal, assent where applicable, common audit findings</w:t>
            </w:r>
          </w:p>
        </w:tc>
        <w:tc>
          <w:tcPr>
            <w:tcW w:w="2206" w:type="dxa"/>
            <w:shd w:val="clear" w:color="auto" w:fill="EFEFF0" w:themeFill="text2" w:themeFillTint="33"/>
            <w:tcMar>
              <w:top w:w="142" w:type="dxa"/>
              <w:left w:w="142" w:type="dxa"/>
              <w:bottom w:w="142" w:type="dxa"/>
              <w:right w:w="142" w:type="dxa"/>
            </w:tcMar>
          </w:tcPr>
          <w:p w14:paraId="33EF5EA8" w14:textId="23F04B3D"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Study-specific consent form language, risk language, re-consent triggers, recruitment approach, sponsor/CRO consent process</w:t>
            </w:r>
          </w:p>
        </w:tc>
        <w:tc>
          <w:tcPr>
            <w:tcW w:w="3104" w:type="dxa"/>
            <w:shd w:val="clear" w:color="auto" w:fill="EFEFF0" w:themeFill="text2" w:themeFillTint="33"/>
            <w:tcMar>
              <w:top w:w="142" w:type="dxa"/>
              <w:left w:w="142" w:type="dxa"/>
              <w:bottom w:w="142" w:type="dxa"/>
              <w:right w:w="142" w:type="dxa"/>
            </w:tcMar>
          </w:tcPr>
          <w:p w14:paraId="06E1F2C7" w14:textId="4206ED21"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Accept prior foundational consent training or institutional SOP training when current and role-aligned. Use study-specific SIV training for protocol-specific consent form language, re-consent triggers, participant population considerations, or unusual consent workflows.</w:t>
            </w:r>
          </w:p>
        </w:tc>
      </w:tr>
      <w:tr w:rsidR="003E0DBE" w14:paraId="06A7DE2F" w14:textId="10754C5A" w:rsidTr="00624443">
        <w:trPr>
          <w:jc w:val="center"/>
        </w:trPr>
        <w:tc>
          <w:tcPr>
            <w:tcW w:w="1795" w:type="dxa"/>
            <w:tcMar>
              <w:top w:w="142" w:type="dxa"/>
              <w:left w:w="142" w:type="dxa"/>
              <w:bottom w:w="142" w:type="dxa"/>
              <w:right w:w="142" w:type="dxa"/>
            </w:tcMar>
          </w:tcPr>
          <w:p w14:paraId="3A176847"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Privacy and confidentiality</w:t>
            </w:r>
          </w:p>
        </w:tc>
        <w:tc>
          <w:tcPr>
            <w:tcW w:w="2520" w:type="dxa"/>
            <w:tcMar>
              <w:top w:w="142" w:type="dxa"/>
              <w:left w:w="142" w:type="dxa"/>
              <w:bottom w:w="142" w:type="dxa"/>
              <w:right w:w="142" w:type="dxa"/>
            </w:tcMar>
          </w:tcPr>
          <w:p w14:paraId="2F083334" w14:textId="548316CA"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 xml:space="preserve">Participant identifiers, confidential </w:t>
            </w:r>
            <w:r w:rsidRPr="00624443">
              <w:rPr>
                <w:rFonts w:ascii="Segoe UI" w:eastAsia="Segoe UI" w:hAnsi="Segoe UI" w:cs="Segoe UI"/>
                <w:color w:val="003C56" w:themeColor="accent2"/>
                <w:sz w:val="21"/>
                <w:szCs w:val="20"/>
              </w:rPr>
              <w:lastRenderedPageBreak/>
              <w:t>information, secure communication, role-based access, privacy breach concepts</w:t>
            </w:r>
          </w:p>
        </w:tc>
        <w:tc>
          <w:tcPr>
            <w:tcW w:w="2206" w:type="dxa"/>
            <w:tcMar>
              <w:top w:w="142" w:type="dxa"/>
              <w:left w:w="142" w:type="dxa"/>
              <w:bottom w:w="142" w:type="dxa"/>
              <w:right w:w="142" w:type="dxa"/>
            </w:tcMar>
          </w:tcPr>
          <w:p w14:paraId="68A114CD" w14:textId="440E13A2"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 xml:space="preserve">Unusual privacy requirements, </w:t>
            </w:r>
            <w:r w:rsidRPr="00624443">
              <w:rPr>
                <w:rFonts w:ascii="Segoe UI" w:eastAsia="Segoe UI" w:hAnsi="Segoe UI" w:cs="Segoe UI"/>
                <w:color w:val="003C56" w:themeColor="accent2"/>
                <w:sz w:val="21"/>
                <w:szCs w:val="20"/>
              </w:rPr>
              <w:lastRenderedPageBreak/>
              <w:t>special data transfer arrangements, sponsor/CRO-specific privacy reporting pathways</w:t>
            </w:r>
          </w:p>
        </w:tc>
        <w:tc>
          <w:tcPr>
            <w:tcW w:w="3104" w:type="dxa"/>
            <w:tcMar>
              <w:top w:w="142" w:type="dxa"/>
              <w:left w:w="142" w:type="dxa"/>
              <w:bottom w:w="142" w:type="dxa"/>
              <w:right w:w="142" w:type="dxa"/>
            </w:tcMar>
          </w:tcPr>
          <w:p w14:paraId="7EFEC4AD" w14:textId="1EC3ED12"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 xml:space="preserve">Accept institutional privacy training, role-based system </w:t>
            </w:r>
            <w:r w:rsidRPr="00624443">
              <w:rPr>
                <w:rFonts w:ascii="Segoe UI" w:eastAsia="Segoe UI" w:hAnsi="Segoe UI" w:cs="Segoe UI"/>
                <w:color w:val="003C56" w:themeColor="accent2"/>
                <w:sz w:val="21"/>
                <w:szCs w:val="20"/>
              </w:rPr>
              <w:lastRenderedPageBreak/>
              <w:t>access training, or prior sponsor/CRO training when applicable. Refresh when study-specific privacy requirements, data transfers, or breach-reporting pathways differ materially.</w:t>
            </w:r>
          </w:p>
        </w:tc>
      </w:tr>
      <w:tr w:rsidR="003E0DBE" w14:paraId="40928B7F" w14:textId="6F2403EC" w:rsidTr="00624443">
        <w:trPr>
          <w:jc w:val="center"/>
        </w:trPr>
        <w:tc>
          <w:tcPr>
            <w:tcW w:w="1795" w:type="dxa"/>
            <w:shd w:val="clear" w:color="auto" w:fill="EFEFF0" w:themeFill="text2" w:themeFillTint="33"/>
            <w:tcMar>
              <w:top w:w="142" w:type="dxa"/>
              <w:left w:w="142" w:type="dxa"/>
              <w:bottom w:w="142" w:type="dxa"/>
              <w:right w:w="142" w:type="dxa"/>
            </w:tcMar>
          </w:tcPr>
          <w:p w14:paraId="71035F27"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Source documentation and data integrity</w:t>
            </w:r>
          </w:p>
        </w:tc>
        <w:tc>
          <w:tcPr>
            <w:tcW w:w="2520" w:type="dxa"/>
            <w:shd w:val="clear" w:color="auto" w:fill="EFEFF0" w:themeFill="text2" w:themeFillTint="33"/>
            <w:tcMar>
              <w:top w:w="142" w:type="dxa"/>
              <w:left w:w="142" w:type="dxa"/>
              <w:bottom w:w="142" w:type="dxa"/>
              <w:right w:w="142" w:type="dxa"/>
            </w:tcMar>
          </w:tcPr>
          <w:p w14:paraId="29665035" w14:textId="77CEA19F"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Source documentation expectations, ALCOA and related principles, corrections, contemporaneous documentation, electronic records, source-to-eCRF consistency</w:t>
            </w:r>
          </w:p>
        </w:tc>
        <w:tc>
          <w:tcPr>
            <w:tcW w:w="2206" w:type="dxa"/>
            <w:shd w:val="clear" w:color="auto" w:fill="EFEFF0" w:themeFill="text2" w:themeFillTint="33"/>
            <w:tcMar>
              <w:top w:w="142" w:type="dxa"/>
              <w:left w:w="142" w:type="dxa"/>
              <w:bottom w:w="142" w:type="dxa"/>
              <w:right w:w="142" w:type="dxa"/>
            </w:tcMar>
          </w:tcPr>
          <w:p w14:paraId="551FD09A" w14:textId="6B13F5EE"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Endpoint-critical source records, unusual documentation expectations, study-specific source templates or data capture requirements</w:t>
            </w:r>
          </w:p>
        </w:tc>
        <w:tc>
          <w:tcPr>
            <w:tcW w:w="3104" w:type="dxa"/>
            <w:shd w:val="clear" w:color="auto" w:fill="EFEFF0" w:themeFill="text2" w:themeFillTint="33"/>
            <w:tcMar>
              <w:top w:w="142" w:type="dxa"/>
              <w:left w:w="142" w:type="dxa"/>
              <w:bottom w:w="142" w:type="dxa"/>
              <w:right w:w="142" w:type="dxa"/>
            </w:tcMar>
          </w:tcPr>
          <w:p w14:paraId="53B76580" w14:textId="5D6A9C76"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Accept prior GCP/HSP, ALCOA/data integrity, site SOP, or sponsor/CRO training when current and role-aligned. Use study-specific deltas for endpoint-critical source records, unusual source templates, or data capture expectations.</w:t>
            </w:r>
          </w:p>
        </w:tc>
      </w:tr>
      <w:tr w:rsidR="003E0DBE" w14:paraId="7B22D352" w14:textId="34CBE469" w:rsidTr="00624443">
        <w:trPr>
          <w:jc w:val="center"/>
        </w:trPr>
        <w:tc>
          <w:tcPr>
            <w:tcW w:w="1795" w:type="dxa"/>
            <w:tcMar>
              <w:top w:w="142" w:type="dxa"/>
              <w:left w:w="142" w:type="dxa"/>
              <w:bottom w:w="142" w:type="dxa"/>
              <w:right w:w="142" w:type="dxa"/>
            </w:tcMar>
          </w:tcPr>
          <w:p w14:paraId="50FE6206"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Safety reporting fundamentals</w:t>
            </w:r>
          </w:p>
        </w:tc>
        <w:tc>
          <w:tcPr>
            <w:tcW w:w="2520" w:type="dxa"/>
            <w:tcMar>
              <w:top w:w="142" w:type="dxa"/>
              <w:left w:w="142" w:type="dxa"/>
              <w:bottom w:w="142" w:type="dxa"/>
              <w:right w:w="142" w:type="dxa"/>
            </w:tcMar>
          </w:tcPr>
          <w:p w14:paraId="4A0366AE" w14:textId="4D1B3BD5"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Basic AE/SAE definitions, seriousness criteria, severity, causality, expectedness, pregnancy reporting principles, death reporting, follow-up reporting, escalation concepts</w:t>
            </w:r>
          </w:p>
        </w:tc>
        <w:tc>
          <w:tcPr>
            <w:tcW w:w="2206" w:type="dxa"/>
            <w:tcMar>
              <w:top w:w="142" w:type="dxa"/>
              <w:left w:w="142" w:type="dxa"/>
              <w:bottom w:w="142" w:type="dxa"/>
              <w:right w:w="142" w:type="dxa"/>
            </w:tcMar>
          </w:tcPr>
          <w:p w14:paraId="7F870DA1" w14:textId="1E3D56ED"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 xml:space="preserve">Sponsor/CRO-specific timelines, forms, portals, contacts, reportable event categories, </w:t>
            </w:r>
            <w:r w:rsidR="04C6DF02" w:rsidRPr="00624443">
              <w:rPr>
                <w:rFonts w:ascii="Segoe UI" w:eastAsia="Segoe UI" w:hAnsi="Segoe UI" w:cs="Segoe UI"/>
                <w:color w:val="003C56" w:themeColor="accent2"/>
                <w:sz w:val="21"/>
                <w:szCs w:val="20"/>
              </w:rPr>
              <w:t>adverse events of special interest (</w:t>
            </w:r>
            <w:r w:rsidRPr="00624443">
              <w:rPr>
                <w:rFonts w:ascii="Segoe UI" w:eastAsia="Segoe UI" w:hAnsi="Segoe UI" w:cs="Segoe UI"/>
                <w:color w:val="003C56" w:themeColor="accent2"/>
                <w:sz w:val="21"/>
                <w:szCs w:val="20"/>
              </w:rPr>
              <w:t>AESIs</w:t>
            </w:r>
            <w:r w:rsidR="04C6DF02" w:rsidRPr="00624443">
              <w:rPr>
                <w:rFonts w:ascii="Segoe UI" w:eastAsia="Segoe UI" w:hAnsi="Segoe UI" w:cs="Segoe UI"/>
                <w:color w:val="003C56" w:themeColor="accent2"/>
                <w:sz w:val="21"/>
                <w:szCs w:val="20"/>
              </w:rPr>
              <w:t>)</w:t>
            </w:r>
            <w:r w:rsidRPr="00624443">
              <w:rPr>
                <w:rFonts w:ascii="Segoe UI" w:eastAsia="Segoe UI" w:hAnsi="Segoe UI" w:cs="Segoe UI"/>
                <w:color w:val="003C56" w:themeColor="accent2"/>
                <w:sz w:val="21"/>
                <w:szCs w:val="20"/>
              </w:rPr>
              <w:t>, stopping rules, cohort escalation</w:t>
            </w:r>
          </w:p>
        </w:tc>
        <w:tc>
          <w:tcPr>
            <w:tcW w:w="3104" w:type="dxa"/>
            <w:tcMar>
              <w:top w:w="142" w:type="dxa"/>
              <w:left w:w="142" w:type="dxa"/>
              <w:bottom w:w="142" w:type="dxa"/>
              <w:right w:w="142" w:type="dxa"/>
            </w:tcMar>
          </w:tcPr>
          <w:p w14:paraId="0D0658D4" w14:textId="5E013B4C"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Accept prior safety reporting fundamentals training when current and role-aligned. Use study-specific deltas for sponsor/CRO-specific timelines, portals, contacts, AESIs, stopping rules, cohort escalation, and protocol-specific reporting expectations.</w:t>
            </w:r>
          </w:p>
        </w:tc>
      </w:tr>
      <w:tr w:rsidR="003E0DBE" w14:paraId="1575DE22" w14:textId="518A6F16" w:rsidTr="00624443">
        <w:trPr>
          <w:jc w:val="center"/>
        </w:trPr>
        <w:tc>
          <w:tcPr>
            <w:tcW w:w="1795" w:type="dxa"/>
            <w:shd w:val="clear" w:color="auto" w:fill="EFEFF0" w:themeFill="text2" w:themeFillTint="33"/>
            <w:tcMar>
              <w:top w:w="142" w:type="dxa"/>
              <w:left w:w="142" w:type="dxa"/>
              <w:bottom w:w="142" w:type="dxa"/>
              <w:right w:w="142" w:type="dxa"/>
            </w:tcMar>
          </w:tcPr>
          <w:p w14:paraId="0211D81F"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Protocol deviations, serious breaches, and CAPA</w:t>
            </w:r>
          </w:p>
        </w:tc>
        <w:tc>
          <w:tcPr>
            <w:tcW w:w="2520" w:type="dxa"/>
            <w:shd w:val="clear" w:color="auto" w:fill="EFEFF0" w:themeFill="text2" w:themeFillTint="33"/>
            <w:tcMar>
              <w:top w:w="142" w:type="dxa"/>
              <w:left w:w="142" w:type="dxa"/>
              <w:bottom w:w="142" w:type="dxa"/>
              <w:right w:w="142" w:type="dxa"/>
            </w:tcMar>
          </w:tcPr>
          <w:p w14:paraId="019CBCF6" w14:textId="28D349F3"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General concepts of protocol deviations, important deviations, serious breaches, escalation, root cause analysis, CAPA, documentation expectations</w:t>
            </w:r>
          </w:p>
        </w:tc>
        <w:tc>
          <w:tcPr>
            <w:tcW w:w="2206" w:type="dxa"/>
            <w:shd w:val="clear" w:color="auto" w:fill="EFEFF0" w:themeFill="text2" w:themeFillTint="33"/>
            <w:tcMar>
              <w:top w:w="142" w:type="dxa"/>
              <w:left w:w="142" w:type="dxa"/>
              <w:bottom w:w="142" w:type="dxa"/>
              <w:right w:w="142" w:type="dxa"/>
            </w:tcMar>
          </w:tcPr>
          <w:p w14:paraId="7509D679" w14:textId="4CC8B483"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Sponsor-specific definitions, reporting tools, thresholds, protocol-specific examples, study-specific mitigation processes</w:t>
            </w:r>
          </w:p>
        </w:tc>
        <w:tc>
          <w:tcPr>
            <w:tcW w:w="3104" w:type="dxa"/>
            <w:shd w:val="clear" w:color="auto" w:fill="EFEFF0" w:themeFill="text2" w:themeFillTint="33"/>
            <w:tcMar>
              <w:top w:w="142" w:type="dxa"/>
              <w:left w:w="142" w:type="dxa"/>
              <w:bottom w:w="142" w:type="dxa"/>
              <w:right w:w="142" w:type="dxa"/>
            </w:tcMar>
          </w:tcPr>
          <w:p w14:paraId="46D491EF" w14:textId="704CCA0B"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Accept prior foundational deviation/CAPA training when current and role-aligned. Use study-specific deltas for sponsor/CRO definitions, thresholds, reporting tools, and protocol-specific examples.</w:t>
            </w:r>
          </w:p>
        </w:tc>
      </w:tr>
      <w:tr w:rsidR="003E0DBE" w14:paraId="73121CE3" w14:textId="1B25F3B1" w:rsidTr="00624443">
        <w:trPr>
          <w:jc w:val="center"/>
        </w:trPr>
        <w:tc>
          <w:tcPr>
            <w:tcW w:w="1795" w:type="dxa"/>
            <w:tcMar>
              <w:top w:w="142" w:type="dxa"/>
              <w:left w:w="142" w:type="dxa"/>
              <w:bottom w:w="142" w:type="dxa"/>
              <w:right w:w="142" w:type="dxa"/>
            </w:tcMar>
          </w:tcPr>
          <w:p w14:paraId="65D780A9" w14:textId="7777777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 xml:space="preserve">Monitoring, trial file readiness, </w:t>
            </w:r>
            <w:r w:rsidRPr="00624443">
              <w:rPr>
                <w:rFonts w:ascii="Segoe UI" w:eastAsia="Segoe UI" w:hAnsi="Segoe UI" w:cs="Segoe UI"/>
                <w:color w:val="003C56" w:themeColor="accent2"/>
                <w:sz w:val="21"/>
                <w:szCs w:val="20"/>
              </w:rPr>
              <w:lastRenderedPageBreak/>
              <w:t>and audit expectations</w:t>
            </w:r>
          </w:p>
        </w:tc>
        <w:tc>
          <w:tcPr>
            <w:tcW w:w="2520" w:type="dxa"/>
            <w:tcMar>
              <w:top w:w="142" w:type="dxa"/>
              <w:left w:w="142" w:type="dxa"/>
              <w:bottom w:w="142" w:type="dxa"/>
              <w:right w:w="142" w:type="dxa"/>
            </w:tcMar>
          </w:tcPr>
          <w:p w14:paraId="176FCA15" w14:textId="09B3DB80"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 xml:space="preserve">General monitoring expectations, essential </w:t>
            </w:r>
            <w:r w:rsidRPr="00624443">
              <w:rPr>
                <w:rFonts w:ascii="Segoe UI" w:eastAsia="Segoe UI" w:hAnsi="Segoe UI" w:cs="Segoe UI"/>
                <w:color w:val="003C56" w:themeColor="accent2"/>
                <w:sz w:val="21"/>
                <w:szCs w:val="20"/>
              </w:rPr>
              <w:lastRenderedPageBreak/>
              <w:t>document filing, ISF/TMF readiness, audit readiness, remote and on-site monitoring preparation, general query resolution expectations</w:t>
            </w:r>
          </w:p>
        </w:tc>
        <w:tc>
          <w:tcPr>
            <w:tcW w:w="2206" w:type="dxa"/>
            <w:tcMar>
              <w:top w:w="142" w:type="dxa"/>
              <w:left w:w="142" w:type="dxa"/>
              <w:bottom w:w="142" w:type="dxa"/>
              <w:right w:w="142" w:type="dxa"/>
            </w:tcMar>
          </w:tcPr>
          <w:p w14:paraId="36A856AE" w14:textId="7D2437B6"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 xml:space="preserve">Study-specific monitoring plan, </w:t>
            </w:r>
            <w:r w:rsidRPr="00624443">
              <w:rPr>
                <w:rFonts w:ascii="Segoe UI" w:eastAsia="Segoe UI" w:hAnsi="Segoe UI" w:cs="Segoe UI"/>
                <w:color w:val="003C56" w:themeColor="accent2"/>
                <w:sz w:val="21"/>
                <w:szCs w:val="20"/>
              </w:rPr>
              <w:lastRenderedPageBreak/>
              <w:t>unusual filing requirements, endpoint-critical documents, sponsor/CRO-specific escalation processes</w:t>
            </w:r>
          </w:p>
        </w:tc>
        <w:tc>
          <w:tcPr>
            <w:tcW w:w="3104" w:type="dxa"/>
            <w:tcMar>
              <w:top w:w="142" w:type="dxa"/>
              <w:left w:w="142" w:type="dxa"/>
              <w:bottom w:w="142" w:type="dxa"/>
              <w:right w:w="142" w:type="dxa"/>
            </w:tcMar>
          </w:tcPr>
          <w:p w14:paraId="1A027C49" w14:textId="4CEFF65D"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 xml:space="preserve">Accept prior monitoring, ISF/TMF, audit readiness, or </w:t>
            </w:r>
            <w:r w:rsidRPr="00624443">
              <w:rPr>
                <w:rFonts w:ascii="Segoe UI" w:eastAsia="Segoe UI" w:hAnsi="Segoe UI" w:cs="Segoe UI"/>
                <w:color w:val="003C56" w:themeColor="accent2"/>
                <w:sz w:val="21"/>
                <w:szCs w:val="20"/>
              </w:rPr>
              <w:lastRenderedPageBreak/>
              <w:t>site SOP training when current and role-aligned. Use study-specific deltas for the monitoring plan, endpoint-critical documents, unusual filing expectations, or sponsor/CRO escalation processes.</w:t>
            </w:r>
          </w:p>
        </w:tc>
      </w:tr>
      <w:tr w:rsidR="003E0DBE" w14:paraId="0B231877" w14:textId="7EF76B64" w:rsidTr="00624443">
        <w:trPr>
          <w:jc w:val="center"/>
        </w:trPr>
        <w:tc>
          <w:tcPr>
            <w:tcW w:w="1795" w:type="dxa"/>
            <w:shd w:val="clear" w:color="auto" w:fill="EFEFF0" w:themeFill="text2" w:themeFillTint="33"/>
            <w:tcMar>
              <w:top w:w="142" w:type="dxa"/>
              <w:left w:w="142" w:type="dxa"/>
              <w:bottom w:w="142" w:type="dxa"/>
              <w:right w:w="142" w:type="dxa"/>
            </w:tcMar>
          </w:tcPr>
          <w:p w14:paraId="18EB1BD7" w14:textId="1ABA5EF7"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lastRenderedPageBreak/>
              <w:t>Vendor and platform mechanics</w:t>
            </w:r>
          </w:p>
        </w:tc>
        <w:tc>
          <w:tcPr>
            <w:tcW w:w="2520" w:type="dxa"/>
            <w:shd w:val="clear" w:color="auto" w:fill="EFEFF0" w:themeFill="text2" w:themeFillTint="33"/>
            <w:tcMar>
              <w:top w:w="142" w:type="dxa"/>
              <w:left w:w="142" w:type="dxa"/>
              <w:bottom w:w="142" w:type="dxa"/>
              <w:right w:w="142" w:type="dxa"/>
            </w:tcMar>
          </w:tcPr>
          <w:p w14:paraId="0E97C5D3" w14:textId="6B7B23A7" w:rsidR="003E0DBE" w:rsidRPr="00624443" w:rsidRDefault="1E81F149"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General orientation to required vendor systems and where training, job aids, support contacts, and access resources are located. Do not teach detailed system mechanics if covered by vendor training, job aids, or platform support.</w:t>
            </w:r>
          </w:p>
        </w:tc>
        <w:tc>
          <w:tcPr>
            <w:tcW w:w="2206" w:type="dxa"/>
            <w:shd w:val="clear" w:color="auto" w:fill="EFEFF0" w:themeFill="text2" w:themeFillTint="33"/>
            <w:tcMar>
              <w:top w:w="142" w:type="dxa"/>
              <w:left w:w="142" w:type="dxa"/>
              <w:bottom w:w="142" w:type="dxa"/>
              <w:right w:w="142" w:type="dxa"/>
            </w:tcMar>
          </w:tcPr>
          <w:p w14:paraId="6F8CE466" w14:textId="717A4E81" w:rsidR="003E0DBE" w:rsidRPr="00624443" w:rsidRDefault="4E64CCDC"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Protocol-specific implications of system use, timing-critical workflows, study-specific fields, escalation contacts, unique system configurations</w:t>
            </w:r>
          </w:p>
        </w:tc>
        <w:tc>
          <w:tcPr>
            <w:tcW w:w="3104" w:type="dxa"/>
            <w:shd w:val="clear" w:color="auto" w:fill="EFEFF0" w:themeFill="text2" w:themeFillTint="33"/>
            <w:tcMar>
              <w:top w:w="142" w:type="dxa"/>
              <w:left w:w="142" w:type="dxa"/>
              <w:bottom w:w="142" w:type="dxa"/>
              <w:right w:w="142" w:type="dxa"/>
            </w:tcMar>
          </w:tcPr>
          <w:p w14:paraId="74DFE7E4" w14:textId="6E13A5D1" w:rsidR="003E0DBE" w:rsidRPr="00624443" w:rsidRDefault="2B2A9CDD" w:rsidP="74ED4EDC">
            <w:pPr>
              <w:spacing w:after="0"/>
              <w:rPr>
                <w:rFonts w:ascii="Segoe UI" w:eastAsia="Segoe UI" w:hAnsi="Segoe UI" w:cs="Segoe UI"/>
                <w:color w:val="003C56" w:themeColor="accent2"/>
                <w:sz w:val="21"/>
                <w:szCs w:val="20"/>
              </w:rPr>
            </w:pPr>
            <w:r w:rsidRPr="00624443">
              <w:rPr>
                <w:rFonts w:ascii="Segoe UI" w:eastAsia="Segoe UI" w:hAnsi="Segoe UI" w:cs="Segoe UI"/>
                <w:color w:val="003C56" w:themeColor="accent2"/>
                <w:sz w:val="21"/>
                <w:szCs w:val="20"/>
              </w:rPr>
              <w:t>Recognize vendor-generated training records, platform certifications, LMS completion records, prior platform use, role-based access or activity reports, documented meaningful use, or targeted test-out when current, role-aligned, and retrievable. Refresh when platform functionality, study configuration, workflow, access requirements, or role responsibilities materially change.</w:t>
            </w:r>
          </w:p>
        </w:tc>
      </w:tr>
    </w:tbl>
    <w:p w14:paraId="5C6E4700" w14:textId="77777777" w:rsidR="0073579E" w:rsidRDefault="0073579E" w:rsidP="74ED4EDC">
      <w:pPr>
        <w:spacing w:after="0"/>
        <w:rPr>
          <w:rFonts w:ascii="Segoe UI" w:eastAsia="Segoe UI" w:hAnsi="Segoe UI" w:cs="Segoe UI"/>
        </w:rPr>
      </w:pPr>
    </w:p>
    <w:p w14:paraId="20615BCE" w14:textId="77777777" w:rsidR="000853BC" w:rsidRDefault="000853BC" w:rsidP="74ED4EDC">
      <w:pPr>
        <w:rPr>
          <w:rFonts w:ascii="Segoe UI" w:eastAsia="Segoe UI" w:hAnsi="Segoe UI" w:cs="Segoe UI"/>
        </w:rPr>
      </w:pPr>
    </w:p>
    <w:p w14:paraId="689E3BDE" w14:textId="77777777" w:rsidR="0070254F" w:rsidRDefault="0070254F">
      <w:pPr>
        <w:spacing w:after="160" w:line="278" w:lineRule="auto"/>
        <w:rPr>
          <w:rFonts w:ascii="Segoe UI" w:eastAsia="Segoe UI" w:hAnsi="Segoe UI" w:cs="Segoe UI"/>
          <w:b/>
          <w:bCs/>
        </w:rPr>
      </w:pPr>
      <w:r>
        <w:rPr>
          <w:rFonts w:ascii="Segoe UI" w:eastAsia="Segoe UI" w:hAnsi="Segoe UI" w:cs="Segoe UI"/>
          <w:b/>
          <w:bCs/>
        </w:rPr>
        <w:br w:type="page"/>
      </w:r>
    </w:p>
    <w:p w14:paraId="05D0D79B" w14:textId="3E589D7B" w:rsidR="008C425B" w:rsidRDefault="7554C7EF" w:rsidP="74ED4EDC">
      <w:pPr>
        <w:rPr>
          <w:rFonts w:ascii="Segoe UI" w:eastAsia="Segoe UI" w:hAnsi="Segoe UI" w:cs="Segoe UI"/>
          <w:b/>
          <w:bCs/>
          <w:lang w:val="ru-RU"/>
        </w:rPr>
      </w:pPr>
      <w:r w:rsidRPr="74ED4EDC">
        <w:rPr>
          <w:rFonts w:ascii="Segoe UI" w:eastAsia="Segoe UI" w:hAnsi="Segoe UI" w:cs="Segoe UI"/>
          <w:b/>
          <w:bCs/>
        </w:rPr>
        <w:lastRenderedPageBreak/>
        <w:t>Generic SIV Equivalence Review Fields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40"/>
      </w:tblGrid>
      <w:tr w:rsidR="00624443" w14:paraId="1AADB53E" w14:textId="77777777" w:rsidTr="00624443">
        <w:tc>
          <w:tcPr>
            <w:tcW w:w="2410" w:type="dxa"/>
            <w:shd w:val="clear" w:color="auto" w:fill="005171" w:themeFill="accent1"/>
            <w:tcMar>
              <w:top w:w="142" w:type="dxa"/>
              <w:left w:w="142" w:type="dxa"/>
              <w:bottom w:w="142" w:type="dxa"/>
              <w:right w:w="142" w:type="dxa"/>
            </w:tcMar>
          </w:tcPr>
          <w:p w14:paraId="6D76396F" w14:textId="7B1BD175" w:rsidR="00624443" w:rsidRDefault="00624443" w:rsidP="00624443">
            <w:pPr>
              <w:rPr>
                <w:rFonts w:ascii="Segoe UI" w:eastAsia="Segoe UI" w:hAnsi="Segoe UI" w:cs="Segoe UI"/>
                <w:b/>
                <w:bCs/>
                <w:lang w:val="ru-RU"/>
              </w:rPr>
            </w:pPr>
            <w:r w:rsidRPr="00624443">
              <w:rPr>
                <w:rFonts w:ascii="Segoe UI" w:eastAsia="Segoe UI" w:hAnsi="Segoe UI" w:cs="Segoe UI"/>
                <w:b/>
                <w:bCs/>
                <w:color w:val="FFFFFF" w:themeColor="background1"/>
              </w:rPr>
              <w:t>Field</w:t>
            </w:r>
          </w:p>
        </w:tc>
        <w:tc>
          <w:tcPr>
            <w:tcW w:w="6940" w:type="dxa"/>
            <w:shd w:val="clear" w:color="auto" w:fill="005171" w:themeFill="accent1"/>
            <w:tcMar>
              <w:top w:w="142" w:type="dxa"/>
              <w:left w:w="142" w:type="dxa"/>
              <w:bottom w:w="142" w:type="dxa"/>
              <w:right w:w="142" w:type="dxa"/>
            </w:tcMar>
          </w:tcPr>
          <w:p w14:paraId="6B864FBB" w14:textId="753F727B" w:rsidR="00624443" w:rsidRDefault="00624443" w:rsidP="00624443">
            <w:pPr>
              <w:rPr>
                <w:rFonts w:ascii="Segoe UI" w:eastAsia="Segoe UI" w:hAnsi="Segoe UI" w:cs="Segoe UI"/>
                <w:b/>
                <w:bCs/>
                <w:lang w:val="ru-RU"/>
              </w:rPr>
            </w:pPr>
            <w:r w:rsidRPr="00624443">
              <w:rPr>
                <w:rFonts w:ascii="Segoe UI" w:eastAsia="Segoe UI" w:hAnsi="Segoe UI" w:cs="Segoe UI"/>
                <w:b/>
                <w:bCs/>
                <w:color w:val="FFFFFF" w:themeColor="background1"/>
              </w:rPr>
              <w:t>What to compare</w:t>
            </w:r>
          </w:p>
        </w:tc>
      </w:tr>
      <w:tr w:rsidR="00624443" w:rsidRPr="00624443" w14:paraId="12D450A2" w14:textId="77777777" w:rsidTr="00624443">
        <w:tc>
          <w:tcPr>
            <w:tcW w:w="2410" w:type="dxa"/>
            <w:tcMar>
              <w:top w:w="142" w:type="dxa"/>
              <w:left w:w="142" w:type="dxa"/>
              <w:bottom w:w="142" w:type="dxa"/>
              <w:right w:w="142" w:type="dxa"/>
            </w:tcMar>
          </w:tcPr>
          <w:p w14:paraId="150ECC31" w14:textId="0594D293"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Prior training source</w:t>
            </w:r>
          </w:p>
        </w:tc>
        <w:tc>
          <w:tcPr>
            <w:tcW w:w="6940" w:type="dxa"/>
            <w:tcMar>
              <w:top w:w="142" w:type="dxa"/>
              <w:left w:w="142" w:type="dxa"/>
              <w:bottom w:w="142" w:type="dxa"/>
              <w:right w:w="142" w:type="dxa"/>
            </w:tcMar>
          </w:tcPr>
          <w:p w14:paraId="73BC1DE8" w14:textId="395F03D4" w:rsidR="00624443" w:rsidRPr="00624443" w:rsidRDefault="00624443" w:rsidP="00624443">
            <w:pPr>
              <w:rPr>
                <w:rFonts w:ascii="Segoe UI" w:eastAsia="Segoe UI" w:hAnsi="Segoe UI" w:cs="Segoe UI"/>
                <w:b/>
                <w:bCs/>
              </w:rPr>
            </w:pPr>
            <w:r w:rsidRPr="00624443">
              <w:rPr>
                <w:rFonts w:ascii="Segoe UI" w:eastAsia="Segoe UI" w:hAnsi="Segoe UI" w:cs="Segoe UI"/>
                <w:sz w:val="21"/>
                <w:szCs w:val="20"/>
              </w:rPr>
              <w:t xml:space="preserve">Sponsor, CRO, site, vendor, LMS, professional body, or </w:t>
            </w:r>
            <w:proofErr w:type="gramStart"/>
            <w:r w:rsidRPr="00624443">
              <w:rPr>
                <w:rFonts w:ascii="Segoe UI" w:eastAsia="Segoe UI" w:hAnsi="Segoe UI" w:cs="Segoe UI"/>
                <w:sz w:val="21"/>
                <w:szCs w:val="20"/>
              </w:rPr>
              <w:t>other</w:t>
            </w:r>
            <w:proofErr w:type="gramEnd"/>
            <w:r w:rsidRPr="00624443">
              <w:rPr>
                <w:rFonts w:ascii="Segoe UI" w:eastAsia="Segoe UI" w:hAnsi="Segoe UI" w:cs="Segoe UI"/>
                <w:sz w:val="21"/>
                <w:szCs w:val="20"/>
              </w:rPr>
              <w:t xml:space="preserve"> provider</w:t>
            </w:r>
          </w:p>
        </w:tc>
      </w:tr>
      <w:tr w:rsidR="00624443" w:rsidRPr="00624443" w14:paraId="36DB316E" w14:textId="77777777" w:rsidTr="00624443">
        <w:tc>
          <w:tcPr>
            <w:tcW w:w="2410" w:type="dxa"/>
            <w:shd w:val="clear" w:color="auto" w:fill="EFEFF0" w:themeFill="text2" w:themeFillTint="33"/>
            <w:tcMar>
              <w:top w:w="142" w:type="dxa"/>
              <w:left w:w="142" w:type="dxa"/>
              <w:bottom w:w="142" w:type="dxa"/>
              <w:right w:w="142" w:type="dxa"/>
            </w:tcMar>
          </w:tcPr>
          <w:p w14:paraId="76261A5C" w14:textId="0D22BF39"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Content scope</w:t>
            </w:r>
          </w:p>
        </w:tc>
        <w:tc>
          <w:tcPr>
            <w:tcW w:w="6940" w:type="dxa"/>
            <w:shd w:val="clear" w:color="auto" w:fill="EFEFF0" w:themeFill="text2" w:themeFillTint="33"/>
            <w:tcMar>
              <w:top w:w="142" w:type="dxa"/>
              <w:left w:w="142" w:type="dxa"/>
              <w:bottom w:w="142" w:type="dxa"/>
              <w:right w:w="142" w:type="dxa"/>
            </w:tcMar>
          </w:tcPr>
          <w:p w14:paraId="2ECE2E83" w14:textId="090EB412" w:rsidR="00624443" w:rsidRPr="00624443" w:rsidRDefault="00624443" w:rsidP="00624443">
            <w:pPr>
              <w:rPr>
                <w:rFonts w:ascii="Segoe UI" w:eastAsia="Segoe UI" w:hAnsi="Segoe UI" w:cs="Segoe UI"/>
                <w:b/>
                <w:bCs/>
              </w:rPr>
            </w:pPr>
            <w:r w:rsidRPr="00624443">
              <w:rPr>
                <w:rFonts w:ascii="Segoe UI" w:eastAsia="Segoe UI" w:hAnsi="Segoe UI" w:cs="Segoe UI"/>
                <w:sz w:val="21"/>
                <w:szCs w:val="20"/>
              </w:rPr>
              <w:t>Topics covered compared with the accepted generic SIV content map</w:t>
            </w:r>
          </w:p>
        </w:tc>
      </w:tr>
      <w:tr w:rsidR="00624443" w:rsidRPr="00624443" w14:paraId="0CBD22C1" w14:textId="77777777" w:rsidTr="00624443">
        <w:tc>
          <w:tcPr>
            <w:tcW w:w="2410" w:type="dxa"/>
            <w:tcMar>
              <w:top w:w="142" w:type="dxa"/>
              <w:left w:w="142" w:type="dxa"/>
              <w:bottom w:w="142" w:type="dxa"/>
              <w:right w:w="142" w:type="dxa"/>
            </w:tcMar>
          </w:tcPr>
          <w:p w14:paraId="12041AA3" w14:textId="141EB929"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Learning objectives</w:t>
            </w:r>
          </w:p>
        </w:tc>
        <w:tc>
          <w:tcPr>
            <w:tcW w:w="6940" w:type="dxa"/>
            <w:tcMar>
              <w:top w:w="142" w:type="dxa"/>
              <w:left w:w="142" w:type="dxa"/>
              <w:bottom w:w="142" w:type="dxa"/>
              <w:right w:w="142" w:type="dxa"/>
            </w:tcMar>
          </w:tcPr>
          <w:p w14:paraId="427E923E" w14:textId="79B20A38" w:rsidR="00624443" w:rsidRPr="00624443" w:rsidRDefault="00624443" w:rsidP="00624443">
            <w:pPr>
              <w:rPr>
                <w:rFonts w:ascii="Segoe UI" w:eastAsia="Segoe UI" w:hAnsi="Segoe UI" w:cs="Segoe UI"/>
                <w:b/>
                <w:bCs/>
              </w:rPr>
            </w:pPr>
            <w:r w:rsidRPr="00624443">
              <w:rPr>
                <w:rFonts w:ascii="Segoe UI" w:eastAsia="Segoe UI" w:hAnsi="Segoe UI" w:cs="Segoe UI"/>
                <w:sz w:val="21"/>
                <w:szCs w:val="20"/>
              </w:rPr>
              <w:t>Whether objectives align with the accepting sponsor/CRO’s core readiness expectations</w:t>
            </w:r>
          </w:p>
        </w:tc>
      </w:tr>
      <w:tr w:rsidR="00624443" w:rsidRPr="00624443" w14:paraId="758A3BFC" w14:textId="77777777" w:rsidTr="00624443">
        <w:tc>
          <w:tcPr>
            <w:tcW w:w="2410" w:type="dxa"/>
            <w:shd w:val="clear" w:color="auto" w:fill="EFEFF0" w:themeFill="text2" w:themeFillTint="33"/>
            <w:tcMar>
              <w:top w:w="142" w:type="dxa"/>
              <w:left w:w="142" w:type="dxa"/>
              <w:bottom w:w="142" w:type="dxa"/>
              <w:right w:w="142" w:type="dxa"/>
            </w:tcMar>
          </w:tcPr>
          <w:p w14:paraId="4EEAEB80" w14:textId="3E3F0C9E"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Version / date</w:t>
            </w:r>
          </w:p>
        </w:tc>
        <w:tc>
          <w:tcPr>
            <w:tcW w:w="6940" w:type="dxa"/>
            <w:shd w:val="clear" w:color="auto" w:fill="EFEFF0" w:themeFill="text2" w:themeFillTint="33"/>
            <w:tcMar>
              <w:top w:w="142" w:type="dxa"/>
              <w:left w:w="142" w:type="dxa"/>
              <w:bottom w:w="142" w:type="dxa"/>
              <w:right w:w="142" w:type="dxa"/>
            </w:tcMar>
          </w:tcPr>
          <w:p w14:paraId="25597FD8" w14:textId="13D3D00F" w:rsidR="00624443" w:rsidRPr="00624443" w:rsidRDefault="00624443" w:rsidP="00624443">
            <w:pPr>
              <w:rPr>
                <w:rFonts w:ascii="Segoe UI" w:eastAsia="Segoe UI" w:hAnsi="Segoe UI" w:cs="Segoe UI"/>
                <w:b/>
                <w:bCs/>
              </w:rPr>
            </w:pPr>
            <w:r w:rsidRPr="00624443">
              <w:rPr>
                <w:rFonts w:ascii="Segoe UI" w:eastAsia="Segoe UI" w:hAnsi="Segoe UI" w:cs="Segoe UI"/>
                <w:sz w:val="21"/>
                <w:szCs w:val="20"/>
              </w:rPr>
              <w:t>Whether the training is current and unaffected by material regulatory, policy, or process changes</w:t>
            </w:r>
          </w:p>
        </w:tc>
      </w:tr>
      <w:tr w:rsidR="00624443" w:rsidRPr="00624443" w14:paraId="4CB8C763" w14:textId="77777777" w:rsidTr="00624443">
        <w:tc>
          <w:tcPr>
            <w:tcW w:w="2410" w:type="dxa"/>
            <w:tcMar>
              <w:top w:w="142" w:type="dxa"/>
              <w:left w:w="142" w:type="dxa"/>
              <w:bottom w:w="142" w:type="dxa"/>
              <w:right w:w="142" w:type="dxa"/>
            </w:tcMar>
          </w:tcPr>
          <w:p w14:paraId="532C2D6E" w14:textId="3FE18DF1"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Role relevance</w:t>
            </w:r>
          </w:p>
        </w:tc>
        <w:tc>
          <w:tcPr>
            <w:tcW w:w="6940" w:type="dxa"/>
            <w:tcMar>
              <w:top w:w="142" w:type="dxa"/>
              <w:left w:w="142" w:type="dxa"/>
              <w:bottom w:w="142" w:type="dxa"/>
              <w:right w:w="142" w:type="dxa"/>
            </w:tcMar>
          </w:tcPr>
          <w:p w14:paraId="60D7AA9A" w14:textId="4B0F1CC2" w:rsidR="00624443" w:rsidRPr="00624443" w:rsidRDefault="00624443" w:rsidP="00624443">
            <w:pPr>
              <w:rPr>
                <w:rFonts w:ascii="Segoe UI" w:eastAsia="Segoe UI" w:hAnsi="Segoe UI" w:cs="Segoe UI"/>
                <w:b/>
                <w:bCs/>
              </w:rPr>
            </w:pPr>
            <w:r w:rsidRPr="00624443">
              <w:rPr>
                <w:rFonts w:ascii="Segoe UI" w:eastAsia="Segoe UI" w:hAnsi="Segoe UI" w:cs="Segoe UI"/>
                <w:sz w:val="21"/>
                <w:szCs w:val="20"/>
              </w:rPr>
              <w:t>Whether the training applies to the individual’s assigned study role or delegated responsibilities</w:t>
            </w:r>
          </w:p>
        </w:tc>
      </w:tr>
      <w:tr w:rsidR="00624443" w:rsidRPr="00624443" w14:paraId="7CAF6265" w14:textId="77777777" w:rsidTr="00624443">
        <w:tc>
          <w:tcPr>
            <w:tcW w:w="2410" w:type="dxa"/>
            <w:shd w:val="clear" w:color="auto" w:fill="EFEFF0" w:themeFill="text2" w:themeFillTint="33"/>
            <w:tcMar>
              <w:top w:w="142" w:type="dxa"/>
              <w:left w:w="142" w:type="dxa"/>
              <w:bottom w:w="142" w:type="dxa"/>
              <w:right w:w="142" w:type="dxa"/>
            </w:tcMar>
          </w:tcPr>
          <w:p w14:paraId="67C5FAF4" w14:textId="1DCF1FE3"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Evidence available</w:t>
            </w:r>
          </w:p>
        </w:tc>
        <w:tc>
          <w:tcPr>
            <w:tcW w:w="6940" w:type="dxa"/>
            <w:shd w:val="clear" w:color="auto" w:fill="EFEFF0" w:themeFill="text2" w:themeFillTint="33"/>
            <w:tcMar>
              <w:top w:w="142" w:type="dxa"/>
              <w:left w:w="142" w:type="dxa"/>
              <w:bottom w:w="142" w:type="dxa"/>
              <w:right w:w="142" w:type="dxa"/>
            </w:tcMar>
          </w:tcPr>
          <w:p w14:paraId="31394240" w14:textId="2E07000A" w:rsidR="00624443" w:rsidRPr="00624443" w:rsidRDefault="00624443" w:rsidP="00624443">
            <w:pPr>
              <w:rPr>
                <w:rFonts w:ascii="Segoe UI" w:eastAsia="Segoe UI" w:hAnsi="Segoe UI" w:cs="Segoe UI"/>
                <w:b/>
                <w:bCs/>
              </w:rPr>
            </w:pPr>
            <w:r w:rsidRPr="00624443">
              <w:rPr>
                <w:rFonts w:ascii="Segoe UI" w:eastAsia="Segoe UI" w:hAnsi="Segoe UI" w:cs="Segoe UI"/>
                <w:sz w:val="21"/>
                <w:szCs w:val="20"/>
              </w:rPr>
              <w:t>Completion record, LMS report, certificate, assessment result, or other retrievable evidence</w:t>
            </w:r>
          </w:p>
        </w:tc>
      </w:tr>
      <w:tr w:rsidR="00624443" w:rsidRPr="00624443" w14:paraId="2AA4F39B" w14:textId="77777777" w:rsidTr="00624443">
        <w:tc>
          <w:tcPr>
            <w:tcW w:w="2410" w:type="dxa"/>
            <w:tcMar>
              <w:top w:w="142" w:type="dxa"/>
              <w:left w:w="142" w:type="dxa"/>
              <w:bottom w:w="142" w:type="dxa"/>
              <w:right w:w="142" w:type="dxa"/>
            </w:tcMar>
          </w:tcPr>
          <w:p w14:paraId="6F5EB207" w14:textId="5D99386D" w:rsidR="00624443" w:rsidRDefault="00624443" w:rsidP="00624443">
            <w:pPr>
              <w:rPr>
                <w:rFonts w:ascii="Segoe UI" w:eastAsia="Segoe UI" w:hAnsi="Segoe UI" w:cs="Segoe UI"/>
                <w:b/>
                <w:bCs/>
                <w:lang w:val="ru-RU"/>
              </w:rPr>
            </w:pPr>
            <w:r w:rsidRPr="00624443">
              <w:rPr>
                <w:rFonts w:ascii="Segoe UI" w:eastAsia="Segoe UI" w:hAnsi="Segoe UI" w:cs="Segoe UI"/>
                <w:sz w:val="21"/>
                <w:szCs w:val="20"/>
              </w:rPr>
              <w:t>Gaps / deltas</w:t>
            </w:r>
          </w:p>
        </w:tc>
        <w:tc>
          <w:tcPr>
            <w:tcW w:w="6940" w:type="dxa"/>
            <w:tcMar>
              <w:top w:w="142" w:type="dxa"/>
              <w:left w:w="142" w:type="dxa"/>
              <w:bottom w:w="142" w:type="dxa"/>
              <w:right w:w="142" w:type="dxa"/>
            </w:tcMar>
          </w:tcPr>
          <w:p w14:paraId="1EE0A19E" w14:textId="715C9973" w:rsidR="00624443" w:rsidRPr="00624443" w:rsidRDefault="00624443" w:rsidP="00624443">
            <w:pPr>
              <w:rPr>
                <w:rFonts w:ascii="Segoe UI" w:eastAsia="Segoe UI" w:hAnsi="Segoe UI" w:cs="Segoe UI"/>
                <w:sz w:val="21"/>
                <w:szCs w:val="20"/>
                <w:lang w:val="ru-RU"/>
              </w:rPr>
            </w:pPr>
            <w:r w:rsidRPr="00624443">
              <w:rPr>
                <w:rFonts w:ascii="Segoe UI" w:eastAsia="Segoe UI" w:hAnsi="Segoe UI" w:cs="Segoe UI"/>
                <w:sz w:val="21"/>
                <w:szCs w:val="20"/>
              </w:rPr>
              <w:t>Sponsor-specific, protocol-specific, role-specific, or risk-critical items still requiring training</w:t>
            </w:r>
          </w:p>
        </w:tc>
      </w:tr>
      <w:tr w:rsidR="00624443" w:rsidRPr="00624443" w14:paraId="37621CA6" w14:textId="77777777" w:rsidTr="00624443">
        <w:tc>
          <w:tcPr>
            <w:tcW w:w="2410" w:type="dxa"/>
            <w:shd w:val="clear" w:color="auto" w:fill="EFEFF0" w:themeFill="text2" w:themeFillTint="33"/>
            <w:tcMar>
              <w:top w:w="142" w:type="dxa"/>
              <w:left w:w="142" w:type="dxa"/>
              <w:bottom w:w="142" w:type="dxa"/>
              <w:right w:w="142" w:type="dxa"/>
            </w:tcMar>
          </w:tcPr>
          <w:p w14:paraId="6AB9C52A" w14:textId="01029188" w:rsidR="00624443" w:rsidRPr="00624443" w:rsidRDefault="00624443" w:rsidP="00624443">
            <w:pPr>
              <w:rPr>
                <w:rFonts w:ascii="Segoe UI" w:eastAsia="Segoe UI" w:hAnsi="Segoe UI" w:cs="Segoe UI"/>
                <w:sz w:val="21"/>
                <w:szCs w:val="20"/>
                <w:lang w:val="ru-RU"/>
              </w:rPr>
            </w:pPr>
            <w:r w:rsidRPr="00624443">
              <w:rPr>
                <w:rFonts w:ascii="Segoe UI" w:eastAsia="Segoe UI" w:hAnsi="Segoe UI" w:cs="Segoe UI"/>
                <w:sz w:val="21"/>
                <w:szCs w:val="20"/>
              </w:rPr>
              <w:t>Decision</w:t>
            </w:r>
          </w:p>
        </w:tc>
        <w:tc>
          <w:tcPr>
            <w:tcW w:w="6940" w:type="dxa"/>
            <w:shd w:val="clear" w:color="auto" w:fill="EFEFF0" w:themeFill="text2" w:themeFillTint="33"/>
            <w:tcMar>
              <w:top w:w="142" w:type="dxa"/>
              <w:left w:w="142" w:type="dxa"/>
              <w:bottom w:w="142" w:type="dxa"/>
              <w:right w:w="142" w:type="dxa"/>
            </w:tcMar>
          </w:tcPr>
          <w:p w14:paraId="73CDC095" w14:textId="5A95CADF" w:rsidR="00624443" w:rsidRPr="00624443" w:rsidRDefault="00624443" w:rsidP="00624443">
            <w:pPr>
              <w:rPr>
                <w:rFonts w:ascii="Segoe UI" w:eastAsia="Segoe UI" w:hAnsi="Segoe UI" w:cs="Segoe UI"/>
                <w:sz w:val="21"/>
                <w:szCs w:val="20"/>
              </w:rPr>
            </w:pPr>
            <w:r w:rsidRPr="00624443">
              <w:rPr>
                <w:rFonts w:ascii="Segoe UI" w:eastAsia="Segoe UI" w:hAnsi="Segoe UI" w:cs="Segoe UI"/>
                <w:sz w:val="21"/>
                <w:szCs w:val="20"/>
              </w:rPr>
              <w:t>Recognize prior evidence; recognize prior evidence + delta instruction required; targeted verification or test-out; refresher or focused supplement; full training required; escalate for review.</w:t>
            </w:r>
          </w:p>
        </w:tc>
      </w:tr>
      <w:tr w:rsidR="00624443" w:rsidRPr="00624443" w14:paraId="4689B707" w14:textId="77777777" w:rsidTr="00624443">
        <w:tc>
          <w:tcPr>
            <w:tcW w:w="2410" w:type="dxa"/>
            <w:tcMar>
              <w:top w:w="142" w:type="dxa"/>
              <w:left w:w="142" w:type="dxa"/>
              <w:bottom w:w="142" w:type="dxa"/>
              <w:right w:w="142" w:type="dxa"/>
            </w:tcMar>
          </w:tcPr>
          <w:p w14:paraId="0D55F990" w14:textId="2C3F614F" w:rsidR="00624443" w:rsidRPr="00624443" w:rsidRDefault="00624443" w:rsidP="00624443">
            <w:pPr>
              <w:rPr>
                <w:rFonts w:ascii="Segoe UI" w:eastAsia="Segoe UI" w:hAnsi="Segoe UI" w:cs="Segoe UI"/>
                <w:sz w:val="21"/>
                <w:szCs w:val="20"/>
              </w:rPr>
            </w:pPr>
            <w:r w:rsidRPr="00624443">
              <w:rPr>
                <w:rFonts w:ascii="Segoe UI" w:eastAsia="Segoe UI" w:hAnsi="Segoe UI" w:cs="Segoe UI"/>
                <w:sz w:val="21"/>
                <w:szCs w:val="20"/>
              </w:rPr>
              <w:t>Review owner / date</w:t>
            </w:r>
          </w:p>
        </w:tc>
        <w:tc>
          <w:tcPr>
            <w:tcW w:w="6940" w:type="dxa"/>
            <w:tcMar>
              <w:top w:w="142" w:type="dxa"/>
              <w:left w:w="142" w:type="dxa"/>
              <w:bottom w:w="142" w:type="dxa"/>
              <w:right w:w="142" w:type="dxa"/>
            </w:tcMar>
          </w:tcPr>
          <w:p w14:paraId="3653C3C2" w14:textId="1684DE68" w:rsidR="00624443" w:rsidRPr="00624443" w:rsidRDefault="00624443" w:rsidP="00624443">
            <w:pPr>
              <w:rPr>
                <w:rFonts w:ascii="Segoe UI" w:eastAsia="Segoe UI" w:hAnsi="Segoe UI" w:cs="Segoe UI"/>
                <w:sz w:val="21"/>
                <w:szCs w:val="20"/>
              </w:rPr>
            </w:pPr>
            <w:r w:rsidRPr="00624443">
              <w:rPr>
                <w:rFonts w:ascii="Segoe UI" w:eastAsia="Segoe UI" w:hAnsi="Segoe UI" w:cs="Segoe UI"/>
                <w:sz w:val="21"/>
                <w:szCs w:val="20"/>
              </w:rPr>
              <w:t>Sponsor/CRO role responsible for the review and date the equivalence decision was made</w:t>
            </w:r>
          </w:p>
        </w:tc>
      </w:tr>
      <w:tr w:rsidR="00624443" w:rsidRPr="00624443" w14:paraId="356AE2F6" w14:textId="77777777" w:rsidTr="00624443">
        <w:tc>
          <w:tcPr>
            <w:tcW w:w="2410" w:type="dxa"/>
            <w:shd w:val="clear" w:color="auto" w:fill="EFEFF0" w:themeFill="text2" w:themeFillTint="33"/>
            <w:tcMar>
              <w:top w:w="142" w:type="dxa"/>
              <w:left w:w="142" w:type="dxa"/>
              <w:bottom w:w="142" w:type="dxa"/>
              <w:right w:w="142" w:type="dxa"/>
            </w:tcMar>
          </w:tcPr>
          <w:p w14:paraId="46E06657" w14:textId="6091B7F4" w:rsidR="00624443" w:rsidRPr="00624443" w:rsidRDefault="00624443" w:rsidP="00624443">
            <w:pPr>
              <w:rPr>
                <w:rFonts w:ascii="Segoe UI" w:eastAsia="Segoe UI" w:hAnsi="Segoe UI" w:cs="Segoe UI"/>
                <w:sz w:val="21"/>
                <w:szCs w:val="20"/>
              </w:rPr>
            </w:pPr>
            <w:r w:rsidRPr="00624443">
              <w:rPr>
                <w:rFonts w:ascii="Segoe UI" w:eastAsia="Segoe UI" w:hAnsi="Segoe UI" w:cs="Segoe UI"/>
                <w:sz w:val="21"/>
                <w:szCs w:val="20"/>
              </w:rPr>
              <w:t>Decision record locator</w:t>
            </w:r>
          </w:p>
        </w:tc>
        <w:tc>
          <w:tcPr>
            <w:tcW w:w="6940" w:type="dxa"/>
            <w:shd w:val="clear" w:color="auto" w:fill="EFEFF0" w:themeFill="text2" w:themeFillTint="33"/>
            <w:tcMar>
              <w:top w:w="142" w:type="dxa"/>
              <w:left w:w="142" w:type="dxa"/>
              <w:bottom w:w="142" w:type="dxa"/>
              <w:right w:w="142" w:type="dxa"/>
            </w:tcMar>
          </w:tcPr>
          <w:p w14:paraId="29C2E8D4" w14:textId="514AFB82" w:rsidR="00624443" w:rsidRPr="00624443" w:rsidRDefault="00624443" w:rsidP="00624443">
            <w:pPr>
              <w:rPr>
                <w:rFonts w:ascii="Segoe UI" w:eastAsia="Segoe UI" w:hAnsi="Segoe UI" w:cs="Segoe UI"/>
                <w:sz w:val="21"/>
                <w:szCs w:val="20"/>
              </w:rPr>
            </w:pPr>
            <w:r w:rsidRPr="00624443">
              <w:rPr>
                <w:rFonts w:ascii="Segoe UI" w:eastAsia="Segoe UI" w:hAnsi="Segoe UI" w:cs="Segoe UI"/>
                <w:sz w:val="21"/>
                <w:szCs w:val="20"/>
              </w:rPr>
              <w:t>Where the completed equivalence review or Tool C decision record is stored or retrievable</w:t>
            </w:r>
          </w:p>
        </w:tc>
      </w:tr>
    </w:tbl>
    <w:p w14:paraId="3F12B42F" w14:textId="77777777" w:rsidR="008C425B" w:rsidRPr="00624443" w:rsidRDefault="008C425B" w:rsidP="00624443">
      <w:pPr>
        <w:rPr>
          <w:lang w:val="ru-RU"/>
        </w:rPr>
      </w:pPr>
    </w:p>
    <w:sectPr w:rsidR="008C425B" w:rsidRPr="0062444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81FBB4" w14:textId="77777777" w:rsidR="00F37D8C" w:rsidRDefault="00F37D8C">
      <w:pPr>
        <w:spacing w:after="0"/>
      </w:pPr>
      <w:r>
        <w:separator/>
      </w:r>
    </w:p>
  </w:endnote>
  <w:endnote w:type="continuationSeparator" w:id="0">
    <w:p w14:paraId="443C631B" w14:textId="77777777" w:rsidR="00F37D8C" w:rsidRDefault="00F37D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1F44E4EB" w14:paraId="1E7B7006" w14:textId="77777777" w:rsidTr="1F44E4EB">
      <w:trPr>
        <w:trHeight w:val="300"/>
      </w:trPr>
      <w:tc>
        <w:tcPr>
          <w:tcW w:w="3120" w:type="dxa"/>
        </w:tcPr>
        <w:p w14:paraId="36623813" w14:textId="2A492329" w:rsidR="1F44E4EB" w:rsidRDefault="1F44E4EB" w:rsidP="1F44E4EB">
          <w:pPr>
            <w:pStyle w:val="Header"/>
            <w:ind w:left="-115"/>
          </w:pPr>
        </w:p>
      </w:tc>
      <w:tc>
        <w:tcPr>
          <w:tcW w:w="3120" w:type="dxa"/>
        </w:tcPr>
        <w:p w14:paraId="164AEFB2" w14:textId="603EDD4F" w:rsidR="1F44E4EB" w:rsidRDefault="1F44E4EB" w:rsidP="1F44E4EB">
          <w:pPr>
            <w:pStyle w:val="Header"/>
            <w:jc w:val="center"/>
          </w:pPr>
        </w:p>
      </w:tc>
      <w:tc>
        <w:tcPr>
          <w:tcW w:w="3120" w:type="dxa"/>
        </w:tcPr>
        <w:p w14:paraId="380C269D" w14:textId="026517D7" w:rsidR="1F44E4EB" w:rsidRDefault="1F44E4EB" w:rsidP="1F44E4EB">
          <w:pPr>
            <w:pStyle w:val="Header"/>
            <w:ind w:right="-115"/>
            <w:jc w:val="right"/>
          </w:pPr>
        </w:p>
      </w:tc>
    </w:tr>
  </w:tbl>
  <w:p w14:paraId="1F8F6ECA" w14:textId="6AFF0F2C" w:rsidR="1F44E4EB" w:rsidRDefault="00624443" w:rsidP="1F44E4EB">
    <w:pPr>
      <w:pStyle w:val="Footer"/>
    </w:pPr>
    <w:r>
      <w:rPr>
        <w:noProof/>
      </w:rPr>
      <w:drawing>
        <wp:anchor distT="0" distB="0" distL="114300" distR="114300" simplePos="0" relativeHeight="251661312" behindDoc="0" locked="0" layoutInCell="1" allowOverlap="1" wp14:anchorId="46D7764C" wp14:editId="135CBD95">
          <wp:simplePos x="0" y="0"/>
          <wp:positionH relativeFrom="margin">
            <wp:posOffset>-1545590</wp:posOffset>
          </wp:positionH>
          <wp:positionV relativeFrom="margin">
            <wp:posOffset>4939366</wp:posOffset>
          </wp:positionV>
          <wp:extent cx="8855197" cy="2123923"/>
          <wp:effectExtent l="0" t="1803400" r="0" b="1724660"/>
          <wp:wrapNone/>
          <wp:docPr id="1545587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5C2107" w14:textId="77777777" w:rsidR="00F37D8C" w:rsidRDefault="00F37D8C">
      <w:pPr>
        <w:spacing w:after="0"/>
      </w:pPr>
      <w:r>
        <w:separator/>
      </w:r>
    </w:p>
  </w:footnote>
  <w:footnote w:type="continuationSeparator" w:id="0">
    <w:p w14:paraId="50F378CA" w14:textId="77777777" w:rsidR="00F37D8C" w:rsidRDefault="00F37D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4743E" w14:textId="48887417" w:rsidR="1F44E4EB" w:rsidRDefault="1F44E4EB" w:rsidP="1F44E4EB">
    <w:pPr>
      <w:pStyle w:val="Header"/>
      <w:rPr>
        <w:rFonts w:ascii="Segoe UI" w:eastAsia="Segoe UI" w:hAnsi="Segoe UI" w:cs="Segoe UI"/>
        <w:color w:val="003C56" w:themeColor="text1"/>
        <w:sz w:val="20"/>
        <w:szCs w:val="20"/>
      </w:rPr>
    </w:pPr>
    <w:r w:rsidRPr="1F44E4EB">
      <w:rPr>
        <w:rFonts w:ascii="Segoe UI" w:eastAsia="Segoe UI" w:hAnsi="Segoe UI" w:cs="Segoe UI"/>
        <w:b/>
        <w:bCs/>
        <w:color w:val="003C56" w:themeColor="text1"/>
        <w:sz w:val="20"/>
        <w:szCs w:val="20"/>
      </w:rPr>
      <w:t>Site Training Reform: Supporting Tool for SIV Companion Paper</w:t>
    </w:r>
  </w:p>
  <w:p w14:paraId="0F5E78D1" w14:textId="7689206D" w:rsidR="1F44E4EB" w:rsidRDefault="1F44E4EB" w:rsidP="1F44E4EB">
    <w:pPr>
      <w:pStyle w:val="Header"/>
      <w:rPr>
        <w:rFonts w:ascii="Segoe UI" w:eastAsia="Segoe UI" w:hAnsi="Segoe UI" w:cs="Segoe UI"/>
        <w:color w:val="003C56" w:themeColor="text1"/>
        <w:sz w:val="20"/>
        <w:szCs w:val="20"/>
      </w:rPr>
    </w:pPr>
    <w:r w:rsidRPr="1F44E4EB">
      <w:rPr>
        <w:rFonts w:ascii="Segoe UI" w:eastAsia="Segoe UI" w:hAnsi="Segoe UI" w:cs="Segoe UI"/>
        <w:color w:val="003C56" w:themeColor="text1"/>
        <w:sz w:val="20"/>
        <w:szCs w:val="20"/>
      </w:rPr>
      <w:t>Site-Sponsor Consortium | An Advarra Initiative</w:t>
    </w:r>
  </w:p>
  <w:p w14:paraId="35190A3E" w14:textId="2F3DA566" w:rsidR="1F44E4EB" w:rsidRDefault="00624443" w:rsidP="1F44E4EB">
    <w:pPr>
      <w:pStyle w:val="Header"/>
    </w:pPr>
    <w:r>
      <w:rPr>
        <w:noProof/>
      </w:rPr>
      <w:drawing>
        <wp:anchor distT="0" distB="0" distL="114300" distR="114300" simplePos="0" relativeHeight="251659264" behindDoc="0" locked="0" layoutInCell="1" allowOverlap="1" wp14:anchorId="33F0B617" wp14:editId="55F5F203">
          <wp:simplePos x="0" y="0"/>
          <wp:positionH relativeFrom="margin">
            <wp:posOffset>-1545913</wp:posOffset>
          </wp:positionH>
          <wp:positionV relativeFrom="margin">
            <wp:posOffset>1128737</wp:posOffset>
          </wp:positionV>
          <wp:extent cx="8855197" cy="2123923"/>
          <wp:effectExtent l="0" t="1803400" r="0" b="1724660"/>
          <wp:wrapNone/>
          <wp:docPr id="1066371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9E"/>
    <w:rsid w:val="000844EF"/>
    <w:rsid w:val="000853BC"/>
    <w:rsid w:val="000C74E7"/>
    <w:rsid w:val="00237064"/>
    <w:rsid w:val="003C4F99"/>
    <w:rsid w:val="003E0DBE"/>
    <w:rsid w:val="004269A9"/>
    <w:rsid w:val="00472790"/>
    <w:rsid w:val="005C38C1"/>
    <w:rsid w:val="006159E3"/>
    <w:rsid w:val="00624443"/>
    <w:rsid w:val="00627312"/>
    <w:rsid w:val="0070254F"/>
    <w:rsid w:val="0073579E"/>
    <w:rsid w:val="00743171"/>
    <w:rsid w:val="007579A2"/>
    <w:rsid w:val="0078083C"/>
    <w:rsid w:val="007A41F6"/>
    <w:rsid w:val="007D5483"/>
    <w:rsid w:val="00841590"/>
    <w:rsid w:val="008860D3"/>
    <w:rsid w:val="008A13F2"/>
    <w:rsid w:val="008A64DA"/>
    <w:rsid w:val="008C425B"/>
    <w:rsid w:val="009A3DED"/>
    <w:rsid w:val="009E73A0"/>
    <w:rsid w:val="00A5213D"/>
    <w:rsid w:val="00AA60BB"/>
    <w:rsid w:val="00B60250"/>
    <w:rsid w:val="00B64FAC"/>
    <w:rsid w:val="00BD752A"/>
    <w:rsid w:val="00C11D3F"/>
    <w:rsid w:val="00DA11C5"/>
    <w:rsid w:val="00DE0CE0"/>
    <w:rsid w:val="00F37D8C"/>
    <w:rsid w:val="04C6DF02"/>
    <w:rsid w:val="12932E83"/>
    <w:rsid w:val="13F15A16"/>
    <w:rsid w:val="17E9B579"/>
    <w:rsid w:val="18ADACAB"/>
    <w:rsid w:val="1E35B2A5"/>
    <w:rsid w:val="1E81F149"/>
    <w:rsid w:val="1F44E4EB"/>
    <w:rsid w:val="2A19BF53"/>
    <w:rsid w:val="2B2A9CDD"/>
    <w:rsid w:val="2C9951DA"/>
    <w:rsid w:val="37100209"/>
    <w:rsid w:val="40DF4A53"/>
    <w:rsid w:val="47D2E8FD"/>
    <w:rsid w:val="4E64CCDC"/>
    <w:rsid w:val="59836F98"/>
    <w:rsid w:val="5BF60FBD"/>
    <w:rsid w:val="60D0F284"/>
    <w:rsid w:val="65251448"/>
    <w:rsid w:val="6B7216F6"/>
    <w:rsid w:val="74ED4EDC"/>
    <w:rsid w:val="7554C7EF"/>
    <w:rsid w:val="78A1D97F"/>
    <w:rsid w:val="7E74C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E036F"/>
  <w15:chartTrackingRefBased/>
  <w15:docId w15:val="{C1ED5AF1-9682-4913-8DDA-386AF847F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79E"/>
    <w:pPr>
      <w:spacing w:after="120" w:line="240" w:lineRule="auto"/>
    </w:pPr>
    <w:rPr>
      <w:rFonts w:ascii="Aptos" w:eastAsia="Aptos" w:hAnsi="Aptos"/>
      <w:kern w:val="0"/>
      <w:szCs w:val="22"/>
      <w14:ligatures w14:val="none"/>
    </w:rPr>
  </w:style>
  <w:style w:type="paragraph" w:styleId="Heading1">
    <w:name w:val="heading 1"/>
    <w:basedOn w:val="Normal"/>
    <w:next w:val="Normal"/>
    <w:link w:val="Heading1Char"/>
    <w:uiPriority w:val="9"/>
    <w:qFormat/>
    <w:rsid w:val="0073579E"/>
    <w:pPr>
      <w:keepNext/>
      <w:keepLines/>
      <w:spacing w:before="360" w:after="80" w:line="278" w:lineRule="auto"/>
      <w:outlineLvl w:val="0"/>
    </w:pPr>
    <w:rPr>
      <w:rFonts w:asciiTheme="majorHAnsi" w:eastAsiaTheme="majorEastAsia" w:hAnsiTheme="majorHAnsi" w:cstheme="majorBidi"/>
      <w:color w:val="003C54"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3579E"/>
    <w:pPr>
      <w:keepNext/>
      <w:keepLines/>
      <w:spacing w:before="160" w:after="80" w:line="278" w:lineRule="auto"/>
      <w:outlineLvl w:val="1"/>
    </w:pPr>
    <w:rPr>
      <w:rFonts w:asciiTheme="majorHAnsi" w:eastAsiaTheme="majorEastAsia" w:hAnsiTheme="majorHAnsi" w:cstheme="majorBidi"/>
      <w:color w:val="003C54"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579E"/>
    <w:pPr>
      <w:keepNext/>
      <w:keepLines/>
      <w:spacing w:before="160" w:after="80" w:line="278" w:lineRule="auto"/>
      <w:outlineLvl w:val="2"/>
    </w:pPr>
    <w:rPr>
      <w:rFonts w:asciiTheme="minorHAnsi" w:eastAsiaTheme="majorEastAsia" w:hAnsiTheme="minorHAnsi" w:cstheme="majorBidi"/>
      <w:color w:val="003C54"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579E"/>
    <w:pPr>
      <w:keepNext/>
      <w:keepLines/>
      <w:spacing w:before="80" w:after="40" w:line="278" w:lineRule="auto"/>
      <w:outlineLvl w:val="3"/>
    </w:pPr>
    <w:rPr>
      <w:rFonts w:asciiTheme="minorHAnsi" w:eastAsiaTheme="majorEastAsia" w:hAnsiTheme="minorHAnsi" w:cstheme="majorBidi"/>
      <w:i/>
      <w:iCs/>
      <w:color w:val="003C54"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73579E"/>
    <w:pPr>
      <w:keepNext/>
      <w:keepLines/>
      <w:spacing w:before="80" w:after="40" w:line="278" w:lineRule="auto"/>
      <w:outlineLvl w:val="4"/>
    </w:pPr>
    <w:rPr>
      <w:rFonts w:asciiTheme="minorHAnsi" w:eastAsiaTheme="majorEastAsia" w:hAnsiTheme="minorHAnsi" w:cstheme="majorBidi"/>
      <w:color w:val="003C54"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73579E"/>
    <w:pPr>
      <w:keepNext/>
      <w:keepLines/>
      <w:spacing w:before="40" w:after="0" w:line="278" w:lineRule="auto"/>
      <w:outlineLvl w:val="5"/>
    </w:pPr>
    <w:rPr>
      <w:rFonts w:asciiTheme="minorHAnsi" w:eastAsiaTheme="majorEastAsia" w:hAnsiTheme="minorHAnsi" w:cstheme="majorBidi"/>
      <w:i/>
      <w:iCs/>
      <w:color w:val="00A2E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73579E"/>
    <w:pPr>
      <w:keepNext/>
      <w:keepLines/>
      <w:spacing w:before="40" w:after="0" w:line="278" w:lineRule="auto"/>
      <w:outlineLvl w:val="6"/>
    </w:pPr>
    <w:rPr>
      <w:rFonts w:asciiTheme="minorHAnsi" w:eastAsiaTheme="majorEastAsia" w:hAnsiTheme="minorHAnsi" w:cstheme="majorBidi"/>
      <w:color w:val="00A2E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73579E"/>
    <w:pPr>
      <w:keepNext/>
      <w:keepLines/>
      <w:spacing w:after="0" w:line="278" w:lineRule="auto"/>
      <w:outlineLvl w:val="7"/>
    </w:pPr>
    <w:rPr>
      <w:rFonts w:asciiTheme="minorHAnsi" w:eastAsiaTheme="majorEastAsia" w:hAnsiTheme="minorHAnsi" w:cstheme="majorBidi"/>
      <w:i/>
      <w:iCs/>
      <w:color w:val="006896"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73579E"/>
    <w:pPr>
      <w:keepNext/>
      <w:keepLines/>
      <w:spacing w:after="0" w:line="278" w:lineRule="auto"/>
      <w:outlineLvl w:val="8"/>
    </w:pPr>
    <w:rPr>
      <w:rFonts w:asciiTheme="minorHAnsi" w:eastAsiaTheme="majorEastAsia" w:hAnsiTheme="minorHAnsi" w:cstheme="majorBidi"/>
      <w:color w:val="006896"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79E"/>
    <w:rPr>
      <w:rFonts w:asciiTheme="majorHAnsi" w:eastAsiaTheme="majorEastAsia" w:hAnsiTheme="majorHAnsi" w:cstheme="majorBidi"/>
      <w:color w:val="003C54" w:themeColor="accent1" w:themeShade="BF"/>
      <w:sz w:val="40"/>
      <w:szCs w:val="40"/>
    </w:rPr>
  </w:style>
  <w:style w:type="character" w:customStyle="1" w:styleId="Heading2Char">
    <w:name w:val="Heading 2 Char"/>
    <w:basedOn w:val="DefaultParagraphFont"/>
    <w:link w:val="Heading2"/>
    <w:uiPriority w:val="9"/>
    <w:semiHidden/>
    <w:rsid w:val="0073579E"/>
    <w:rPr>
      <w:rFonts w:asciiTheme="majorHAnsi" w:eastAsiaTheme="majorEastAsia" w:hAnsiTheme="majorHAnsi" w:cstheme="majorBidi"/>
      <w:color w:val="003C54" w:themeColor="accent1" w:themeShade="BF"/>
      <w:sz w:val="32"/>
      <w:szCs w:val="32"/>
    </w:rPr>
  </w:style>
  <w:style w:type="character" w:customStyle="1" w:styleId="Heading3Char">
    <w:name w:val="Heading 3 Char"/>
    <w:basedOn w:val="DefaultParagraphFont"/>
    <w:link w:val="Heading3"/>
    <w:uiPriority w:val="9"/>
    <w:semiHidden/>
    <w:rsid w:val="0073579E"/>
    <w:rPr>
      <w:rFonts w:eastAsiaTheme="majorEastAsia" w:cstheme="majorBidi"/>
      <w:color w:val="003C54" w:themeColor="accent1" w:themeShade="BF"/>
      <w:sz w:val="28"/>
      <w:szCs w:val="28"/>
    </w:rPr>
  </w:style>
  <w:style w:type="character" w:customStyle="1" w:styleId="Heading4Char">
    <w:name w:val="Heading 4 Char"/>
    <w:basedOn w:val="DefaultParagraphFont"/>
    <w:link w:val="Heading4"/>
    <w:uiPriority w:val="9"/>
    <w:semiHidden/>
    <w:rsid w:val="0073579E"/>
    <w:rPr>
      <w:rFonts w:eastAsiaTheme="majorEastAsia" w:cstheme="majorBidi"/>
      <w:i/>
      <w:iCs/>
      <w:color w:val="003C54" w:themeColor="accent1" w:themeShade="BF"/>
    </w:rPr>
  </w:style>
  <w:style w:type="character" w:customStyle="1" w:styleId="Heading5Char">
    <w:name w:val="Heading 5 Char"/>
    <w:basedOn w:val="DefaultParagraphFont"/>
    <w:link w:val="Heading5"/>
    <w:uiPriority w:val="9"/>
    <w:semiHidden/>
    <w:rsid w:val="0073579E"/>
    <w:rPr>
      <w:rFonts w:eastAsiaTheme="majorEastAsia" w:cstheme="majorBidi"/>
      <w:color w:val="003C54" w:themeColor="accent1" w:themeShade="BF"/>
    </w:rPr>
  </w:style>
  <w:style w:type="character" w:customStyle="1" w:styleId="Heading6Char">
    <w:name w:val="Heading 6 Char"/>
    <w:basedOn w:val="DefaultParagraphFont"/>
    <w:link w:val="Heading6"/>
    <w:uiPriority w:val="9"/>
    <w:semiHidden/>
    <w:rsid w:val="0073579E"/>
    <w:rPr>
      <w:rFonts w:eastAsiaTheme="majorEastAsia" w:cstheme="majorBidi"/>
      <w:i/>
      <w:iCs/>
      <w:color w:val="00A2E9" w:themeColor="text1" w:themeTint="A6"/>
    </w:rPr>
  </w:style>
  <w:style w:type="character" w:customStyle="1" w:styleId="Heading7Char">
    <w:name w:val="Heading 7 Char"/>
    <w:basedOn w:val="DefaultParagraphFont"/>
    <w:link w:val="Heading7"/>
    <w:uiPriority w:val="9"/>
    <w:semiHidden/>
    <w:rsid w:val="0073579E"/>
    <w:rPr>
      <w:rFonts w:eastAsiaTheme="majorEastAsia" w:cstheme="majorBidi"/>
      <w:color w:val="00A2E9" w:themeColor="text1" w:themeTint="A6"/>
    </w:rPr>
  </w:style>
  <w:style w:type="character" w:customStyle="1" w:styleId="Heading8Char">
    <w:name w:val="Heading 8 Char"/>
    <w:basedOn w:val="DefaultParagraphFont"/>
    <w:link w:val="Heading8"/>
    <w:uiPriority w:val="9"/>
    <w:semiHidden/>
    <w:rsid w:val="0073579E"/>
    <w:rPr>
      <w:rFonts w:eastAsiaTheme="majorEastAsia" w:cstheme="majorBidi"/>
      <w:i/>
      <w:iCs/>
      <w:color w:val="006896" w:themeColor="text1" w:themeTint="D8"/>
    </w:rPr>
  </w:style>
  <w:style w:type="character" w:customStyle="1" w:styleId="Heading9Char">
    <w:name w:val="Heading 9 Char"/>
    <w:basedOn w:val="DefaultParagraphFont"/>
    <w:link w:val="Heading9"/>
    <w:uiPriority w:val="9"/>
    <w:semiHidden/>
    <w:rsid w:val="0073579E"/>
    <w:rPr>
      <w:rFonts w:eastAsiaTheme="majorEastAsia" w:cstheme="majorBidi"/>
      <w:color w:val="006896" w:themeColor="text1" w:themeTint="D8"/>
    </w:rPr>
  </w:style>
  <w:style w:type="paragraph" w:styleId="Title">
    <w:name w:val="Title"/>
    <w:basedOn w:val="Normal"/>
    <w:next w:val="Normal"/>
    <w:link w:val="TitleChar"/>
    <w:uiPriority w:val="10"/>
    <w:qFormat/>
    <w:rsid w:val="0073579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5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79E"/>
    <w:pPr>
      <w:numPr>
        <w:ilvl w:val="1"/>
      </w:numPr>
      <w:spacing w:after="160" w:line="278" w:lineRule="auto"/>
    </w:pPr>
    <w:rPr>
      <w:rFonts w:asciiTheme="minorHAnsi" w:eastAsiaTheme="majorEastAsia" w:hAnsiTheme="minorHAnsi" w:cstheme="majorBidi"/>
      <w:color w:val="00A2E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579E"/>
    <w:rPr>
      <w:rFonts w:eastAsiaTheme="majorEastAsia" w:cstheme="majorBidi"/>
      <w:color w:val="00A2E9" w:themeColor="text1" w:themeTint="A6"/>
      <w:spacing w:val="15"/>
      <w:sz w:val="28"/>
      <w:szCs w:val="28"/>
    </w:rPr>
  </w:style>
  <w:style w:type="paragraph" w:styleId="Quote">
    <w:name w:val="Quote"/>
    <w:basedOn w:val="Normal"/>
    <w:next w:val="Normal"/>
    <w:link w:val="QuoteChar"/>
    <w:uiPriority w:val="29"/>
    <w:qFormat/>
    <w:rsid w:val="0073579E"/>
    <w:pPr>
      <w:spacing w:before="160" w:after="160" w:line="278" w:lineRule="auto"/>
      <w:jc w:val="center"/>
    </w:pPr>
    <w:rPr>
      <w:rFonts w:asciiTheme="minorHAnsi" w:eastAsiaTheme="minorHAnsi" w:hAnsiTheme="minorHAnsi"/>
      <w:i/>
      <w:iCs/>
      <w:color w:val="0085C0" w:themeColor="text1" w:themeTint="BF"/>
      <w:kern w:val="2"/>
      <w:szCs w:val="24"/>
      <w14:ligatures w14:val="standardContextual"/>
    </w:rPr>
  </w:style>
  <w:style w:type="character" w:customStyle="1" w:styleId="QuoteChar">
    <w:name w:val="Quote Char"/>
    <w:basedOn w:val="DefaultParagraphFont"/>
    <w:link w:val="Quote"/>
    <w:uiPriority w:val="29"/>
    <w:rsid w:val="0073579E"/>
    <w:rPr>
      <w:i/>
      <w:iCs/>
      <w:color w:val="0085C0" w:themeColor="text1" w:themeTint="BF"/>
    </w:rPr>
  </w:style>
  <w:style w:type="paragraph" w:styleId="ListParagraph">
    <w:name w:val="List Paragraph"/>
    <w:basedOn w:val="Normal"/>
    <w:uiPriority w:val="34"/>
    <w:qFormat/>
    <w:rsid w:val="0073579E"/>
    <w:pPr>
      <w:spacing w:after="160" w:line="278" w:lineRule="auto"/>
      <w:ind w:left="720"/>
      <w:contextualSpacing/>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73579E"/>
    <w:rPr>
      <w:i/>
      <w:iCs/>
      <w:color w:val="003C54" w:themeColor="accent1" w:themeShade="BF"/>
    </w:rPr>
  </w:style>
  <w:style w:type="paragraph" w:styleId="IntenseQuote">
    <w:name w:val="Intense Quote"/>
    <w:basedOn w:val="Normal"/>
    <w:next w:val="Normal"/>
    <w:link w:val="IntenseQuoteChar"/>
    <w:uiPriority w:val="30"/>
    <w:qFormat/>
    <w:rsid w:val="0073579E"/>
    <w:pPr>
      <w:pBdr>
        <w:top w:val="single" w:sz="4" w:space="10" w:color="003C54" w:themeColor="accent1" w:themeShade="BF"/>
        <w:bottom w:val="single" w:sz="4" w:space="10" w:color="003C54" w:themeColor="accent1" w:themeShade="BF"/>
      </w:pBdr>
      <w:spacing w:before="360" w:after="360" w:line="278" w:lineRule="auto"/>
      <w:ind w:left="864" w:right="864"/>
      <w:jc w:val="center"/>
    </w:pPr>
    <w:rPr>
      <w:rFonts w:asciiTheme="minorHAnsi" w:eastAsiaTheme="minorHAnsi" w:hAnsiTheme="minorHAnsi"/>
      <w:i/>
      <w:iCs/>
      <w:color w:val="003C54"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73579E"/>
    <w:rPr>
      <w:i/>
      <w:iCs/>
      <w:color w:val="003C54" w:themeColor="accent1" w:themeShade="BF"/>
    </w:rPr>
  </w:style>
  <w:style w:type="character" w:styleId="IntenseReference">
    <w:name w:val="Intense Reference"/>
    <w:basedOn w:val="DefaultParagraphFont"/>
    <w:uiPriority w:val="32"/>
    <w:qFormat/>
    <w:rsid w:val="0073579E"/>
    <w:rPr>
      <w:b/>
      <w:bCs/>
      <w:smallCaps/>
      <w:color w:val="003C54" w:themeColor="accent1" w:themeShade="BF"/>
      <w:spacing w:val="5"/>
    </w:rPr>
  </w:style>
  <w:style w:type="paragraph" w:styleId="Revision">
    <w:name w:val="Revision"/>
    <w:hidden/>
    <w:uiPriority w:val="99"/>
    <w:semiHidden/>
    <w:rsid w:val="00B64FAC"/>
    <w:pPr>
      <w:spacing w:after="0" w:line="240" w:lineRule="auto"/>
    </w:pPr>
    <w:rPr>
      <w:rFonts w:ascii="Aptos" w:eastAsia="Aptos" w:hAnsi="Aptos"/>
      <w:kern w:val="0"/>
      <w:szCs w:val="22"/>
      <w14:ligatures w14:val="none"/>
    </w:rPr>
  </w:style>
  <w:style w:type="paragraph" w:styleId="Header">
    <w:name w:val="header"/>
    <w:basedOn w:val="Normal"/>
    <w:uiPriority w:val="99"/>
    <w:unhideWhenUsed/>
    <w:rsid w:val="1F44E4EB"/>
    <w:pPr>
      <w:tabs>
        <w:tab w:val="center" w:pos="4680"/>
        <w:tab w:val="right" w:pos="9360"/>
      </w:tabs>
      <w:spacing w:after="0"/>
    </w:pPr>
  </w:style>
  <w:style w:type="paragraph" w:styleId="Footer">
    <w:name w:val="footer"/>
    <w:basedOn w:val="Normal"/>
    <w:uiPriority w:val="99"/>
    <w:unhideWhenUsed/>
    <w:rsid w:val="1F44E4EB"/>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3C56" w:themeColor="text1"/>
        <w:left w:val="single" w:sz="4" w:space="0" w:color="003C56" w:themeColor="text1"/>
        <w:bottom w:val="single" w:sz="4" w:space="0" w:color="003C56" w:themeColor="text1"/>
        <w:right w:val="single" w:sz="4" w:space="0" w:color="003C56" w:themeColor="text1"/>
        <w:insideH w:val="single" w:sz="4" w:space="0" w:color="003C56" w:themeColor="text1"/>
        <w:insideV w:val="single" w:sz="4" w:space="0" w:color="003C56"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dvarra 2026">
      <a:dk1>
        <a:srgbClr val="003C56"/>
      </a:dk1>
      <a:lt1>
        <a:srgbClr val="FFFFFF"/>
      </a:lt1>
      <a:dk2>
        <a:srgbClr val="B1B4B5"/>
      </a:dk2>
      <a:lt2>
        <a:srgbClr val="007EA3"/>
      </a:lt2>
      <a:accent1>
        <a:srgbClr val="005171"/>
      </a:accent1>
      <a:accent2>
        <a:srgbClr val="003C56"/>
      </a:accent2>
      <a:accent3>
        <a:srgbClr val="6950B9"/>
      </a:accent3>
      <a:accent4>
        <a:srgbClr val="BBF31E"/>
      </a:accent4>
      <a:accent5>
        <a:srgbClr val="92D300"/>
      </a:accent5>
      <a:accent6>
        <a:srgbClr val="6C9302"/>
      </a:accent6>
      <a:hlink>
        <a:srgbClr val="007EA3"/>
      </a:hlink>
      <a:folHlink>
        <a:srgbClr val="193A5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1013</Words>
  <Characters>5775</Characters>
  <Application>Microsoft Office Word</Application>
  <DocSecurity>0</DocSecurity>
  <Lines>48</Lines>
  <Paragraphs>13</Paragraphs>
  <ScaleCrop>false</ScaleCrop>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Senn</dc:creator>
  <cp:keywords/>
  <dc:description/>
  <cp:lastModifiedBy>Microsoft Office User</cp:lastModifiedBy>
  <cp:revision>3</cp:revision>
  <dcterms:created xsi:type="dcterms:W3CDTF">2026-10-12T11:45:00Z</dcterms:created>
  <dcterms:modified xsi:type="dcterms:W3CDTF">2026-10-12T11:47:00Z</dcterms:modified>
</cp:coreProperties>
</file>